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</w:t>
      </w:r>
      <w:r w:rsidR="0092278A">
        <w:rPr>
          <w:sz w:val="22"/>
          <w:szCs w:val="22"/>
        </w:rPr>
        <w:t xml:space="preserve">№ </w:t>
      </w:r>
      <w:r w:rsidR="00AF5A9C">
        <w:rPr>
          <w:sz w:val="22"/>
          <w:szCs w:val="22"/>
        </w:rPr>
        <w:t>1237 р от 16.06.2025 г.</w:t>
      </w:r>
      <w:r w:rsidR="007022F0">
        <w:rPr>
          <w:sz w:val="22"/>
          <w:szCs w:val="22"/>
        </w:rPr>
        <w:t>, № 1238 р от 16.06.2025 г.</w:t>
      </w:r>
      <w:r w:rsidR="00D25F7D">
        <w:rPr>
          <w:sz w:val="22"/>
          <w:szCs w:val="22"/>
        </w:rPr>
        <w:t>, № 1755 р от 06.08.2025 г., № 1635 р от 21.07.2025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AF5A9C">
        <w:rPr>
          <w:sz w:val="22"/>
          <w:szCs w:val="22"/>
        </w:rPr>
        <w:t>11 августа</w:t>
      </w:r>
      <w:r w:rsidR="00206417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AF5A9C">
        <w:rPr>
          <w:sz w:val="22"/>
          <w:szCs w:val="22"/>
        </w:rPr>
        <w:t>22 августа</w:t>
      </w:r>
      <w:r w:rsidR="00680F86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25715C" w:rsidRPr="00BC5D48">
        <w:rPr>
          <w:sz w:val="22"/>
          <w:szCs w:val="22"/>
        </w:rPr>
        <w:t xml:space="preserve">– </w:t>
      </w:r>
      <w:r w:rsidR="00AF5A9C">
        <w:rPr>
          <w:sz w:val="22"/>
          <w:szCs w:val="22"/>
        </w:rPr>
        <w:t>25 августа</w:t>
      </w:r>
      <w:r w:rsidR="0025715C">
        <w:rPr>
          <w:sz w:val="22"/>
          <w:szCs w:val="22"/>
        </w:rPr>
        <w:t xml:space="preserve"> </w:t>
      </w:r>
      <w:r w:rsidR="00C3551F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AF5A9C">
        <w:rPr>
          <w:sz w:val="22"/>
          <w:szCs w:val="22"/>
        </w:rPr>
        <w:t>26 августа</w:t>
      </w:r>
      <w:r w:rsidR="00594C91">
        <w:rPr>
          <w:sz w:val="22"/>
          <w:szCs w:val="22"/>
        </w:rPr>
        <w:t xml:space="preserve"> 2025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C95F4F" w:rsidP="00AF5A9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DC5550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</w:t>
            </w:r>
            <w:r w:rsidR="00AB3622">
              <w:rPr>
                <w:color w:val="000000"/>
                <w:sz w:val="22"/>
                <w:szCs w:val="22"/>
                <w:shd w:val="clear" w:color="auto" w:fill="F8F9FA"/>
              </w:rPr>
              <w:t>область,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AB3622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AF5A9C">
              <w:rPr>
                <w:color w:val="000000"/>
                <w:sz w:val="22"/>
                <w:szCs w:val="22"/>
                <w:shd w:val="clear" w:color="auto" w:fill="F8F9FA"/>
              </w:rPr>
              <w:t>с. Осыпной Бугор, ул. Гагарина, 70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AF5A9C">
              <w:rPr>
                <w:color w:val="000000"/>
                <w:sz w:val="22"/>
                <w:szCs w:val="22"/>
                <w:shd w:val="clear" w:color="auto" w:fill="F8F9FA"/>
              </w:rPr>
              <w:t xml:space="preserve">«индивидуальное 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>жилищно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е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 xml:space="preserve"> строительств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о</w:t>
            </w:r>
            <w:r w:rsidR="003B29E7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AF5A9C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AF5A9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AF5A9C">
              <w:rPr>
                <w:sz w:val="22"/>
                <w:szCs w:val="22"/>
              </w:rPr>
              <w:t>100204</w:t>
            </w:r>
            <w:r w:rsidR="00E53624">
              <w:rPr>
                <w:sz w:val="22"/>
                <w:szCs w:val="22"/>
              </w:rPr>
              <w:t>:</w:t>
            </w:r>
            <w:r w:rsidR="00AF5A9C">
              <w:rPr>
                <w:sz w:val="22"/>
                <w:szCs w:val="22"/>
              </w:rPr>
              <w:t>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AF5A9C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AF5A9C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3B29E7" w:rsidRDefault="00AF5A9C" w:rsidP="0098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</w:t>
            </w:r>
          </w:p>
        </w:tc>
      </w:tr>
      <w:tr w:rsidR="00D01764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64" w:rsidRPr="00BC5D48" w:rsidRDefault="00D01764" w:rsidP="00D01764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Приволжский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</w:t>
            </w: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Осыпной Бугор</w:t>
            </w: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Виноградная</w:t>
            </w: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73</w:t>
            </w: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64" w:rsidRPr="00BC5D48" w:rsidRDefault="00D01764" w:rsidP="00D0176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64" w:rsidRPr="00BC5D48" w:rsidRDefault="00D01764" w:rsidP="00D0176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100204:515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64" w:rsidRPr="00032228" w:rsidRDefault="00D01764" w:rsidP="00D0176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64" w:rsidRPr="00032228" w:rsidRDefault="00D01764" w:rsidP="00D0176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64" w:rsidRPr="003B29E7" w:rsidRDefault="00D01764" w:rsidP="00D01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</w:t>
            </w:r>
          </w:p>
        </w:tc>
      </w:tr>
      <w:tr w:rsidR="00D25F7D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7D" w:rsidRPr="00CD18C9" w:rsidRDefault="00D25F7D" w:rsidP="00D25F7D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D25F7D">
              <w:rPr>
                <w:color w:val="000000"/>
                <w:sz w:val="22"/>
                <w:szCs w:val="22"/>
                <w:shd w:val="clear" w:color="auto" w:fill="F8F9FA"/>
              </w:rPr>
              <w:t>Российская Федерация, Астраханская область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муниципальный район Приволжский, сельское поселение Килинчинский сельсовет, село Килинчи, улица 2-я Шоссейная, земельный участок, 27 </w:t>
            </w:r>
            <w:r w:rsidRPr="00D25F7D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7D" w:rsidRDefault="00D25F7D" w:rsidP="0025715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7D" w:rsidRPr="00BC5D48" w:rsidRDefault="00D25F7D" w:rsidP="00AF5A9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30:09:080201:545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7D" w:rsidRDefault="00D25F7D" w:rsidP="00D0176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01764">
              <w:rPr>
                <w:sz w:val="22"/>
                <w:szCs w:val="22"/>
              </w:rPr>
              <w:t>418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7D" w:rsidRDefault="00D25F7D" w:rsidP="0025715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7D" w:rsidRPr="00D25F7D" w:rsidRDefault="00D25F7D" w:rsidP="0025715C">
            <w:pPr>
              <w:jc w:val="center"/>
              <w:rPr>
                <w:sz w:val="22"/>
                <w:szCs w:val="22"/>
              </w:rPr>
            </w:pPr>
            <w:r w:rsidRPr="00D25F7D">
              <w:rPr>
                <w:sz w:val="22"/>
                <w:szCs w:val="22"/>
              </w:rPr>
              <w:t>462</w:t>
            </w:r>
          </w:p>
          <w:p w:rsidR="00D25F7D" w:rsidRPr="00D25F7D" w:rsidRDefault="00D25F7D" w:rsidP="00D25F7D">
            <w:pPr>
              <w:rPr>
                <w:sz w:val="22"/>
                <w:szCs w:val="22"/>
              </w:rPr>
            </w:pPr>
          </w:p>
        </w:tc>
      </w:tr>
      <w:tr w:rsidR="00D25F7D" w:rsidRPr="00734383" w:rsidTr="00D25F7D">
        <w:trPr>
          <w:trHeight w:val="6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7D" w:rsidRPr="00CD18C9" w:rsidRDefault="00D25F7D" w:rsidP="00D25F7D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bookmarkStart w:id="0" w:name="_GoBack" w:colFirst="2" w:colLast="2"/>
            <w:r w:rsidRPr="00D25F7D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муниципальный район Приволжский, сельское поселение Килинчинский сельсовет, село Килинчи, </w:t>
            </w:r>
            <w:r w:rsidRPr="00D25F7D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>улица 2-я Шоссейная, земельный участок, 2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8</w:t>
            </w:r>
            <w:r w:rsidRPr="00D25F7D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7D" w:rsidRDefault="00D25F7D" w:rsidP="00D25F7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7D" w:rsidRPr="00BC5D48" w:rsidRDefault="00D25F7D" w:rsidP="00D25F7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30:09:080201:544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7D" w:rsidRDefault="00D25F7D" w:rsidP="00D0176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01764">
              <w:rPr>
                <w:sz w:val="22"/>
                <w:szCs w:val="22"/>
              </w:rPr>
              <w:t>418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7D" w:rsidRDefault="00D25F7D" w:rsidP="00D25F7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7D" w:rsidRPr="00D25F7D" w:rsidRDefault="00D25F7D" w:rsidP="00D25F7D">
            <w:pPr>
              <w:jc w:val="center"/>
              <w:rPr>
                <w:sz w:val="22"/>
                <w:szCs w:val="22"/>
              </w:rPr>
            </w:pPr>
            <w:r w:rsidRPr="00D25F7D">
              <w:rPr>
                <w:sz w:val="22"/>
                <w:szCs w:val="22"/>
              </w:rPr>
              <w:t>462</w:t>
            </w:r>
          </w:p>
          <w:p w:rsidR="00D25F7D" w:rsidRPr="00D25F7D" w:rsidRDefault="00D25F7D" w:rsidP="00D25F7D">
            <w:pPr>
              <w:rPr>
                <w:sz w:val="22"/>
                <w:szCs w:val="22"/>
              </w:rPr>
            </w:pPr>
          </w:p>
        </w:tc>
      </w:tr>
    </w:tbl>
    <w:bookmarkEnd w:id="0"/>
    <w:p w:rsidR="00B036A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lastRenderedPageBreak/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Сведения о правах и ограничениях (обременениях)</w:t>
      </w:r>
    </w:p>
    <w:p w:rsidR="00206417" w:rsidRPr="00206417" w:rsidRDefault="00206417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Ограничение прав и обременение объекта недвижимости</w:t>
      </w:r>
    </w:p>
    <w:p w:rsidR="002E7F09" w:rsidRDefault="00E83453" w:rsidP="00A0583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Лот</w:t>
      </w:r>
      <w:r>
        <w:rPr>
          <w:rFonts w:ascii="Times New Roman" w:hAnsi="Times New Roman" w:cs="Times New Roman"/>
          <w:b/>
        </w:rPr>
        <w:t>ы</w:t>
      </w:r>
      <w:r w:rsidRPr="00206417">
        <w:rPr>
          <w:rFonts w:ascii="Times New Roman" w:hAnsi="Times New Roman" w:cs="Times New Roman"/>
          <w:b/>
        </w:rPr>
        <w:t xml:space="preserve"> № 1</w:t>
      </w:r>
      <w:r w:rsidR="00D25F7D">
        <w:rPr>
          <w:rFonts w:ascii="Times New Roman" w:hAnsi="Times New Roman" w:cs="Times New Roman"/>
          <w:b/>
        </w:rPr>
        <w:t xml:space="preserve">-2 </w:t>
      </w:r>
      <w:r w:rsidRPr="00206417">
        <w:rPr>
          <w:rFonts w:ascii="Times New Roman" w:hAnsi="Times New Roman" w:cs="Times New Roman"/>
          <w:b/>
        </w:rPr>
        <w:t xml:space="preserve">- </w:t>
      </w:r>
      <w:proofErr w:type="spellStart"/>
      <w:r w:rsidRPr="00206417">
        <w:rPr>
          <w:rFonts w:ascii="Times New Roman" w:hAnsi="Times New Roman" w:cs="Times New Roman"/>
          <w:b/>
        </w:rPr>
        <w:t>ЗОУИТы</w:t>
      </w:r>
      <w:proofErr w:type="spellEnd"/>
      <w:r w:rsidRPr="00206417">
        <w:rPr>
          <w:rFonts w:ascii="Times New Roman" w:hAnsi="Times New Roman" w:cs="Times New Roman"/>
          <w:b/>
        </w:rPr>
        <w:t>: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30:00-6.411 Шестая подзона приаэродромной территории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 авиации Астрахань (Нариманово).</w:t>
      </w:r>
    </w:p>
    <w:p w:rsidR="00A23239" w:rsidRDefault="00A23239" w:rsidP="00A0583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A23239">
        <w:rPr>
          <w:rFonts w:ascii="Times New Roman" w:hAnsi="Times New Roman" w:cs="Times New Roman"/>
          <w:b/>
        </w:rPr>
        <w:t xml:space="preserve">Лоты № </w:t>
      </w:r>
      <w:r>
        <w:rPr>
          <w:rFonts w:ascii="Times New Roman" w:hAnsi="Times New Roman" w:cs="Times New Roman"/>
          <w:b/>
        </w:rPr>
        <w:t>3-4</w:t>
      </w:r>
      <w:r w:rsidRPr="00A2323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 w:rsidRPr="00A2323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частично попадают в </w:t>
      </w:r>
      <w:r w:rsidRPr="00A23239">
        <w:rPr>
          <w:rFonts w:ascii="Times New Roman" w:hAnsi="Times New Roman" w:cs="Times New Roman"/>
          <w:b/>
        </w:rPr>
        <w:t>ЗОУИТ:</w:t>
      </w:r>
    </w:p>
    <w:p w:rsidR="00206417" w:rsidRDefault="00A23239" w:rsidP="00A0583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A23239">
        <w:rPr>
          <w:rFonts w:ascii="Times New Roman" w:hAnsi="Times New Roman" w:cs="Times New Roman"/>
          <w:b/>
        </w:rPr>
        <w:t>30:09-6.452</w:t>
      </w:r>
      <w:r w:rsidRPr="00A23239">
        <w:t xml:space="preserve"> </w:t>
      </w:r>
      <w:r w:rsidRPr="00A23239">
        <w:rPr>
          <w:rFonts w:ascii="Times New Roman" w:hAnsi="Times New Roman" w:cs="Times New Roman"/>
          <w:b/>
        </w:rPr>
        <w:t>Охранная зона объекта воздушной линии электропередачи ВЛ-6кВ ф.3 ПС Евпраксино</w:t>
      </w:r>
      <w:r>
        <w:rPr>
          <w:rFonts w:ascii="Times New Roman" w:hAnsi="Times New Roman" w:cs="Times New Roman"/>
          <w:b/>
        </w:rPr>
        <w:t>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F76115" w:rsidRDefault="00104B09" w:rsidP="00B45B74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730DC1">
        <w:rPr>
          <w:rFonts w:ascii="Times New Roman" w:hAnsi="Times New Roman" w:cs="Times New Roman"/>
        </w:rPr>
        <w:t>МО «</w:t>
      </w:r>
      <w:r w:rsidR="00AF5A9C">
        <w:rPr>
          <w:rFonts w:ascii="Times New Roman" w:hAnsi="Times New Roman" w:cs="Times New Roman"/>
        </w:rPr>
        <w:t>село Осыпной Бугор»</w:t>
      </w:r>
      <w:r w:rsidR="00D25F7D">
        <w:rPr>
          <w:rFonts w:ascii="Times New Roman" w:hAnsi="Times New Roman" w:cs="Times New Roman"/>
        </w:rPr>
        <w:t>, МО «Килинчинский сельсовет»</w:t>
      </w:r>
      <w:r w:rsidR="002E7F09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A23239" w:rsidRPr="00A23239" w:rsidRDefault="00A23239" w:rsidP="00B45B74">
      <w:pPr>
        <w:ind w:firstLine="540"/>
        <w:jc w:val="both"/>
        <w:rPr>
          <w:rFonts w:ascii="Times New Roman" w:hAnsi="Times New Roman" w:cs="Times New Roman"/>
          <w:b/>
        </w:rPr>
      </w:pPr>
      <w:r w:rsidRPr="00A23239">
        <w:rPr>
          <w:rFonts w:ascii="Times New Roman" w:hAnsi="Times New Roman" w:cs="Times New Roman"/>
          <w:b/>
        </w:rPr>
        <w:t>МО «село Осыпной Бугор» Параметры застройки:</w:t>
      </w:r>
    </w:p>
    <w:tbl>
      <w:tblPr>
        <w:tblW w:w="5052" w:type="pct"/>
        <w:tblInd w:w="-6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2866"/>
        <w:gridCol w:w="3238"/>
      </w:tblGrid>
      <w:tr w:rsidR="0044328E" w:rsidRPr="0044328E" w:rsidTr="0044328E">
        <w:trPr>
          <w:trHeight w:val="327"/>
        </w:trPr>
        <w:tc>
          <w:tcPr>
            <w:tcW w:w="3286" w:type="pct"/>
            <w:gridSpan w:val="2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Helvetica Neue" w:hAnsi="Times New Roman" w:cs="Times New Roman"/>
                <w:b/>
                <w:bCs/>
                <w:bdr w:val="nil"/>
              </w:rPr>
            </w:pPr>
            <w:r w:rsidRPr="0044328E">
              <w:rPr>
                <w:rFonts w:ascii="Times New Roman" w:eastAsia="Helvetica Neue" w:hAnsi="Times New Roman" w:cs="Times New Roman"/>
                <w:b/>
                <w:bCs/>
                <w:bdr w:val="nil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714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Helvetica Neue" w:hAnsi="Times New Roman" w:cs="Times New Roman"/>
                <w:b/>
                <w:bCs/>
                <w:bdr w:val="nil"/>
              </w:rPr>
            </w:pPr>
            <w:r w:rsidRPr="0044328E">
              <w:rPr>
                <w:rFonts w:ascii="Times New Roman" w:eastAsia="Helvetica Neue" w:hAnsi="Times New Roman" w:cs="Times New Roman"/>
                <w:b/>
                <w:bCs/>
                <w:bdr w:val="nil"/>
              </w:rPr>
              <w:t>Примечания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1177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1164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индивидуальных жилых домов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  <w:vertAlign w:val="superscript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400-1200 м</w:t>
            </w: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  <w:vertAlign w:val="superscript"/>
              </w:rPr>
              <w:t>2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Для земельных участков, находящихся в государственной или муниципальной собственности, предоставляемых в случаях, предусмотренных пунктами 1-8 части 1 статьи 3 Законом Астраханской области от 04.03.2008 №7/2008-ОЗ «Об отдельных вопросах правового регулирования земельных отношений в Астраханской области», предельные размеры – 600-2000</w:t>
            </w: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м</w:t>
            </w: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  <w:vertAlign w:val="superscript"/>
              </w:rPr>
              <w:t>2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131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ведения личного подсобного хозяйства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  <w:vertAlign w:val="superscript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400-2000 м</w:t>
            </w: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  <w:vertAlign w:val="superscript"/>
              </w:rPr>
              <w:t>2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131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lastRenderedPageBreak/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других видов разрешенного использования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подлежат установлению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Предельное количество надземных этажей: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индивидуальных и блокированных жилых домов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3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других видов разрешенного использования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подлежит установлению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3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60%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44328E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 Light" w:hAnsi="Times New Roman" w:cs="Times New Roman"/>
                <w:b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/>
                <w:spacing w:val="-4"/>
                <w:bdr w:val="nil"/>
              </w:rPr>
              <w:t>Иные предельные параметры разрешённого строительства, реконструкции объектов капитального строительства: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Расстояния от окон жилых помещений</w:t>
            </w:r>
            <w:r w:rsidRPr="0044328E">
              <w:rPr>
                <w:rFonts w:ascii="Times New Roman" w:eastAsia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</w:t>
            </w: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участках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менее 6 м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п. 7.1 СП 42.13330.2016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Расстояние от границ участка должно быть не менее: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04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до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стены жилого дома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3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  <w:spacing w:val="-4"/>
              </w:rPr>
              <w:t>до</w:t>
            </w:r>
            <w:proofErr w:type="gramEnd"/>
            <w:r w:rsidRPr="0044328E">
              <w:rPr>
                <w:rFonts w:ascii="Times New Roman" w:eastAsia="Times New Roman" w:hAnsi="Times New Roman" w:cs="Times New Roman"/>
                <w:spacing w:val="-4"/>
              </w:rPr>
              <w:t xml:space="preserve"> хозяйственных построек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1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44328E">
              <w:rPr>
                <w:rFonts w:ascii="Times New Roman" w:eastAsia="Times New Roman" w:hAnsi="Times New Roman" w:cs="Times New Roman"/>
                <w:spacing w:val="-4"/>
              </w:rPr>
              <w:t>Расстояние от красных линий до жилого строения, садового дома до: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6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  <w:spacing w:val="-4"/>
              </w:rPr>
              <w:t>от</w:t>
            </w:r>
            <w:proofErr w:type="gramEnd"/>
            <w:r w:rsidRPr="0044328E">
              <w:rPr>
                <w:rFonts w:ascii="Times New Roman" w:eastAsia="Times New Roman" w:hAnsi="Times New Roman" w:cs="Times New Roman"/>
                <w:spacing w:val="-4"/>
              </w:rPr>
              <w:t xml:space="preserve"> красных линий улиц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5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Расстояние от хозяйственных построек до красных линий улиц и проездов должно быть не менее 5 м.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  <w:spacing w:val="-4"/>
              </w:rPr>
              <w:t>от</w:t>
            </w:r>
            <w:proofErr w:type="gramEnd"/>
            <w:r w:rsidRPr="0044328E">
              <w:rPr>
                <w:rFonts w:ascii="Times New Roman" w:eastAsia="Times New Roman" w:hAnsi="Times New Roman" w:cs="Times New Roman"/>
                <w:spacing w:val="-4"/>
              </w:rPr>
              <w:t xml:space="preserve"> красных линий проездов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3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Минимальные расстояния между жилыми зданиями: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В условиях реконструкции и в других сложных градостроительных условиях указанные расстояния могут быть сокращены при соблюдении норм инсоляции, освещённости и противопожарных требований, а также СП 42.13330.2016 обеспечении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непросматриваемости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жилых помещений (комнат и кухонь) из окна в окно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816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жилых зданий высотой 2-3 этажа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менее 15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между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длинными сторонами и торцами этих же зданий с окнами из жилых комнат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 менее 10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 xml:space="preserve">Размер земельных участков гаражей и стоянок на одно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lastRenderedPageBreak/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-место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lastRenderedPageBreak/>
              <w:t>30 м</w:t>
            </w: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  <w:vertAlign w:val="superscript"/>
              </w:rPr>
              <w:t>2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п. 11.37 СП 42.13330.2016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543"/>
        </w:trPr>
        <w:tc>
          <w:tcPr>
            <w:tcW w:w="1769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lastRenderedPageBreak/>
              <w:t>Минимальное расстояние между стенами зданий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6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решениям.</w:t>
            </w:r>
          </w:p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 зданий I-II-III степени огнестойкости при степени огнестойкости и классе конструктивной пожарной опасности жилых зданий C0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65"/>
        </w:trPr>
        <w:tc>
          <w:tcPr>
            <w:tcW w:w="1769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8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Для зданий II-III степени огнестойкости при степени огнестойкости и классе конструктивной пожарной опасности жилых зданий С1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Отступ от красных линий: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школ и детских дошкольных учреждений, размещаемых в отдельных зданиях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менее </w:t>
            </w:r>
            <w:r w:rsidRPr="0044328E">
              <w:rPr>
                <w:rFonts w:ascii="Times New Roman" w:eastAsia="Helvetica Neue Light" w:hAnsi="Times New Roman" w:cs="Times New Roman"/>
                <w:bdr w:val="nil"/>
                <w:lang w:val="en-US"/>
              </w:rPr>
              <w:t xml:space="preserve">25 </w:t>
            </w: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для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школ и детских дошкольных учреждений, размещаемых в реконструируемых кварталах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менее </w:t>
            </w:r>
            <w:r w:rsidRPr="0044328E">
              <w:rPr>
                <w:rFonts w:ascii="Times New Roman" w:eastAsia="Helvetica Neue Light" w:hAnsi="Times New Roman" w:cs="Times New Roman"/>
                <w:bdr w:val="nil"/>
                <w:lang w:val="en-US"/>
              </w:rPr>
              <w:t xml:space="preserve">15 </w:t>
            </w: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Times New Roman" w:hAnsi="Times New Roman" w:cs="Times New Roman"/>
              </w:rPr>
              <w:t>Расстояние от окон жилых и общественных зданий: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Times New Roman" w:hAnsi="Times New Roman" w:cs="Times New Roman"/>
                <w:spacing w:val="-4"/>
              </w:rPr>
              <w:t>п. 7.5 СП 42.13330.2016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 w:rsidRPr="0044328E">
              <w:rPr>
                <w:rFonts w:ascii="Times New Roman" w:eastAsia="Times New Roman" w:hAnsi="Times New Roman" w:cs="Times New Roman"/>
              </w:rPr>
              <w:t xml:space="preserve"> детских игровых площадок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 xml:space="preserve"> менее 10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 w:rsidRPr="0044328E">
              <w:rPr>
                <w:rFonts w:ascii="Times New Roman" w:eastAsia="Times New Roman" w:hAnsi="Times New Roman" w:cs="Times New Roman"/>
              </w:rPr>
              <w:t xml:space="preserve"> площадок для отдыха взрослого населения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 xml:space="preserve"> менее 8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 w:rsidRPr="0044328E">
              <w:rPr>
                <w:rFonts w:ascii="Times New Roman" w:eastAsia="Times New Roman" w:hAnsi="Times New Roman" w:cs="Times New Roman"/>
              </w:rPr>
              <w:t xml:space="preserve"> площадок для занятий физкультурой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>10-40 м (в зависимости от шумовых характеристик)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 w:rsidRPr="0044328E">
              <w:rPr>
                <w:rFonts w:ascii="Times New Roman" w:eastAsia="Times New Roman" w:hAnsi="Times New Roman" w:cs="Times New Roman"/>
              </w:rPr>
              <w:t xml:space="preserve"> площадок</w:t>
            </w:r>
            <w:r w:rsidRPr="0044328E">
              <w:rPr>
                <w:rFonts w:ascii="Times New Roman" w:eastAsia="Times New Roman" w:hAnsi="Times New Roman" w:cs="Times New Roman"/>
                <w:color w:val="444444"/>
                <w:shd w:val="clear" w:color="auto" w:fill="FFFFFF"/>
              </w:rPr>
              <w:t xml:space="preserve"> </w:t>
            </w:r>
            <w:r w:rsidRPr="0044328E">
              <w:rPr>
                <w:rFonts w:ascii="Times New Roman" w:eastAsia="Times New Roman" w:hAnsi="Times New Roman" w:cs="Times New Roman"/>
              </w:rPr>
              <w:t>для выгула собак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>не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  <w:t xml:space="preserve"> менее </w:t>
            </w:r>
            <w:r w:rsidRPr="0044328E">
              <w:rPr>
                <w:rFonts w:ascii="Times New Roman" w:eastAsia="Helvetica Neue Light" w:hAnsi="Times New Roman" w:cs="Times New Roman"/>
                <w:color w:val="000000"/>
                <w:bdr w:val="nil"/>
              </w:rPr>
              <w:t>40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Максимально допустимая высота ограждений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2,5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28E" w:rsidRPr="0044328E" w:rsidRDefault="0044328E" w:rsidP="0044328E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Высота ограждения по границе с соседним домовладением может быть увеличена. Вид ограждения и его высота должны быть единообразными, как минимум, на протяжении одного квартала с обеих сторон улицы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328E">
              <w:rPr>
                <w:rFonts w:ascii="Times New Roman" w:eastAsia="Times New Roman" w:hAnsi="Times New Roman" w:cs="Times New Roman"/>
              </w:rPr>
              <w:t>Минимальная обеспеченность участка озеленёнными территориями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color w:val="000000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color w:val="000000"/>
                <w:bdr w:val="nil"/>
              </w:rPr>
              <w:t>20%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44328E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Times New Roman" w:hAnsi="Times New Roman" w:cs="Times New Roman"/>
                <w:b/>
              </w:rPr>
              <w:t>Нормы парковки:</w:t>
            </w:r>
          </w:p>
        </w:tc>
        <w:tc>
          <w:tcPr>
            <w:tcW w:w="1517" w:type="pct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contextualSpacing/>
              <w:jc w:val="center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4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41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1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-место на 4-5 посадочных мест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Times New Roman" w:eastAsia="Helvetica Neue Light" w:hAnsi="Times New Roman" w:cs="Times New Roman"/>
                <w:spacing w:val="-4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spacing w:val="-4"/>
                <w:bdr w:val="nil"/>
              </w:rPr>
              <w:t>СП 42.13330.2016 Градостроительство. Планировка и застройка городских и сельских поселений. Актуализированная редакция СНиП 2.07.01-89*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1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-место на 30-35 м</w:t>
            </w:r>
            <w:r w:rsidRPr="0044328E">
              <w:rPr>
                <w:rFonts w:ascii="Times New Roman" w:eastAsia="Helvetica Neue Light" w:hAnsi="Times New Roman" w:cs="Times New Roman"/>
                <w:bdr w:val="nil"/>
                <w:vertAlign w:val="superscript"/>
              </w:rPr>
              <w:t>2</w:t>
            </w: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Объекты коммунально-бытового обслуживания: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бани</w:t>
            </w:r>
            <w:proofErr w:type="gramEnd"/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1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-место на 5-6 единовременных посетителей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ателье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, фотосалоны городского </w:t>
            </w:r>
            <w:r w:rsidRPr="0044328E">
              <w:rPr>
                <w:rFonts w:ascii="Times New Roman" w:eastAsia="Helvetica Neue Light" w:hAnsi="Times New Roman" w:cs="Times New Roman"/>
                <w:bdr w:val="nil"/>
              </w:rPr>
              <w:lastRenderedPageBreak/>
              <w:t>значения, салоны-парикмахерские, салоны красоты, солярии, салоны моды, свадебные салоны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lastRenderedPageBreak/>
              <w:t xml:space="preserve">1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-место на 10-15 м</w:t>
            </w:r>
            <w:r w:rsidRPr="0044328E">
              <w:rPr>
                <w:rFonts w:ascii="Times New Roman" w:eastAsia="Helvetica Neue Light" w:hAnsi="Times New Roman" w:cs="Times New Roman"/>
                <w:bdr w:val="nil"/>
                <w:vertAlign w:val="superscript"/>
              </w:rPr>
              <w:t>2</w:t>
            </w: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</w:t>
            </w:r>
            <w:r w:rsidRPr="0044328E">
              <w:rPr>
                <w:rFonts w:ascii="Times New Roman" w:eastAsia="Helvetica Neue Light" w:hAnsi="Times New Roman" w:cs="Times New Roman"/>
                <w:bdr w:val="nil"/>
              </w:rPr>
              <w:lastRenderedPageBreak/>
              <w:t>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lastRenderedPageBreak/>
              <w:t>салоны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ритуальных услуг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1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-место на 20-25 м</w:t>
            </w:r>
            <w:r w:rsidRPr="0044328E">
              <w:rPr>
                <w:rFonts w:ascii="Times New Roman" w:eastAsia="Helvetica Neue Light" w:hAnsi="Times New Roman" w:cs="Times New Roman"/>
                <w:bdr w:val="nil"/>
                <w:vertAlign w:val="superscript"/>
              </w:rPr>
              <w:t>2</w:t>
            </w: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Times New Roman" w:eastAsia="Helvetica Neue Light" w:hAnsi="Times New Roman" w:cs="Times New Roman"/>
                <w:bdr w:val="nil"/>
              </w:rPr>
            </w:pPr>
            <w:proofErr w:type="gram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химчистки</w:t>
            </w:r>
            <w:proofErr w:type="gram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Times New Roman" w:eastAsia="Helvetica Neue Light" w:hAnsi="Times New Roman" w:cs="Times New Roman"/>
                <w:bdr w:val="nil"/>
              </w:rPr>
            </w:pPr>
            <w:r w:rsidRPr="0044328E">
              <w:rPr>
                <w:rFonts w:ascii="Times New Roman" w:eastAsia="Helvetica Neue Light" w:hAnsi="Times New Roman" w:cs="Times New Roman"/>
                <w:bdr w:val="nil"/>
              </w:rPr>
              <w:t xml:space="preserve">1 </w:t>
            </w:r>
            <w:proofErr w:type="spellStart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машино</w:t>
            </w:r>
            <w:proofErr w:type="spellEnd"/>
            <w:r w:rsidRPr="0044328E">
              <w:rPr>
                <w:rFonts w:ascii="Times New Roman" w:eastAsia="Helvetica Neue Light" w:hAnsi="Times New Roman" w:cs="Times New Roman"/>
                <w:bdr w:val="nil"/>
              </w:rPr>
              <w:t>-место на 1-2 рабочих места приемщика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bdr w:val="nil"/>
              </w:rPr>
            </w:pP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28E" w:rsidRPr="0044328E" w:rsidRDefault="0044328E" w:rsidP="004432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44328E">
              <w:rPr>
                <w:rFonts w:ascii="Times New Roman" w:eastAsia="Arial Unicode MS" w:hAnsi="Times New Roman" w:cs="Times New Roman"/>
                <w:bdr w:val="nil"/>
              </w:rPr>
              <w:t>В сельских поселениях и районах усадебной застройки городов 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дома, м, не менее: одиночные или двойные – 10, до восьми блоков – 25, от восьми до 30 блоков – 50. Площадь застройки сблокированных сараев не должна превышать 800 м. Расстояния между группами сараев следует принимать в соответствии с требованиями пожарной безопасности. Расстояние от сараев для скота и птицы до шахтных колодцев должно быть не менее 20 м.</w:t>
            </w:r>
          </w:p>
        </w:tc>
      </w:tr>
      <w:tr w:rsidR="0044328E" w:rsidRPr="0044328E" w:rsidTr="00825B56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4328E" w:rsidRPr="0044328E" w:rsidRDefault="0044328E" w:rsidP="0044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44328E">
              <w:rPr>
                <w:rFonts w:ascii="Times New Roman" w:eastAsia="Arial Unicode MS" w:hAnsi="Times New Roman" w:cs="Times New Roman"/>
                <w:bdr w:val="nil"/>
              </w:rPr>
              <w:t>Вспомогательные строения, за исключением гаражей, размещать со стороны улиц не допускается.</w:t>
            </w:r>
          </w:p>
        </w:tc>
      </w:tr>
    </w:tbl>
    <w:p w:rsidR="00A23239" w:rsidRDefault="00A23239" w:rsidP="00A232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23239" w:rsidRPr="00A23239" w:rsidRDefault="00A23239" w:rsidP="00A232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«Килинчинский сельсовет» </w:t>
      </w:r>
      <w:r w:rsidRPr="00A232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A23239" w:rsidRPr="00A23239" w:rsidRDefault="00A23239" w:rsidP="00A2323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A23239" w:rsidRPr="00A23239" w:rsidRDefault="00A23239" w:rsidP="00A2323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A23239" w:rsidRPr="00A23239" w:rsidRDefault="00A23239" w:rsidP="00A2323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A23239" w:rsidRPr="00A23239" w:rsidRDefault="00A23239" w:rsidP="00A2323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A23239" w:rsidRPr="00A23239" w:rsidRDefault="00A23239" w:rsidP="00A2323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A23239" w:rsidRPr="00A23239" w:rsidRDefault="00A23239" w:rsidP="00A2323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A23239" w:rsidRPr="00A23239" w:rsidRDefault="00A23239" w:rsidP="00A2323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232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</w:t>
      </w:r>
      <w:r w:rsidRPr="00A232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232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A23239" w:rsidRPr="00A23239" w:rsidRDefault="00A23239" w:rsidP="00A2323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44328E" w:rsidRDefault="00A23239" w:rsidP="0044328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23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A23239" w:rsidRPr="00A23239" w:rsidRDefault="00A23239" w:rsidP="00A2323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FD1" w:rsidRPr="00BC5D48" w:rsidRDefault="00D10FD1" w:rsidP="002568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AB20AD">
        <w:rPr>
          <w:rFonts w:ascii="Times New Roman" w:hAnsi="Times New Roman" w:cs="Times New Roman"/>
        </w:rPr>
        <w:t xml:space="preserve">газоснабжением и водоснабжением. </w:t>
      </w:r>
      <w:r w:rsidR="0093286B">
        <w:rPr>
          <w:rFonts w:ascii="Times New Roman" w:hAnsi="Times New Roman" w:cs="Times New Roman"/>
        </w:rPr>
        <w:t xml:space="preserve">Имеет возможность подключения к объектам инженерной инфраструктуры. </w:t>
      </w:r>
      <w:r w:rsidRPr="00BC5D48">
        <w:rPr>
          <w:rFonts w:ascii="Times New Roman" w:hAnsi="Times New Roman" w:cs="Times New Roman"/>
        </w:rPr>
        <w:t>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 w:rsidR="004E7562">
        <w:rPr>
          <w:rFonts w:ascii="Times New Roman" w:hAnsi="Times New Roman" w:cs="Times New Roman"/>
        </w:rPr>
        <w:t>ь</w:t>
      </w:r>
      <w:r w:rsidR="006A14B7">
        <w:rPr>
          <w:rFonts w:ascii="Times New Roman" w:hAnsi="Times New Roman" w:cs="Times New Roman"/>
        </w:rPr>
        <w:t>ный район</w:t>
      </w:r>
      <w:r w:rsidR="00A44AD7">
        <w:rPr>
          <w:rFonts w:ascii="Times New Roman" w:hAnsi="Times New Roman" w:cs="Times New Roman"/>
        </w:rPr>
        <w:t xml:space="preserve"> Астраханской области» письмо № </w:t>
      </w:r>
      <w:r w:rsidR="00AF5A9C">
        <w:rPr>
          <w:rFonts w:ascii="Times New Roman" w:hAnsi="Times New Roman" w:cs="Times New Roman"/>
        </w:rPr>
        <w:t>2236</w:t>
      </w:r>
      <w:r w:rsidR="00AB3622">
        <w:rPr>
          <w:rFonts w:ascii="Times New Roman" w:hAnsi="Times New Roman" w:cs="Times New Roman"/>
        </w:rPr>
        <w:t xml:space="preserve"> от </w:t>
      </w:r>
      <w:r w:rsidR="00AF5A9C">
        <w:rPr>
          <w:rFonts w:ascii="Times New Roman" w:hAnsi="Times New Roman" w:cs="Times New Roman"/>
        </w:rPr>
        <w:t>02.06</w:t>
      </w:r>
      <w:r w:rsidR="00AB3622">
        <w:rPr>
          <w:rFonts w:ascii="Times New Roman" w:hAnsi="Times New Roman" w:cs="Times New Roman"/>
        </w:rPr>
        <w:t xml:space="preserve">.2025 </w:t>
      </w:r>
      <w:r w:rsidR="00254AA7">
        <w:rPr>
          <w:rFonts w:ascii="Times New Roman" w:hAnsi="Times New Roman" w:cs="Times New Roman"/>
        </w:rPr>
        <w:t>г., № 2233 от 02.06.2025 г.</w:t>
      </w:r>
      <w:r w:rsidR="00AF5A9C">
        <w:rPr>
          <w:rFonts w:ascii="Times New Roman" w:hAnsi="Times New Roman" w:cs="Times New Roman"/>
        </w:rPr>
        <w:t>)</w:t>
      </w:r>
    </w:p>
    <w:p w:rsidR="00505D91" w:rsidRDefault="00C95F4F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5F4F">
        <w:rPr>
          <w:rFonts w:ascii="Times New Roman" w:hAnsi="Times New Roman" w:cs="Times New Roman"/>
        </w:rPr>
        <w:t>Лот №</w:t>
      </w:r>
      <w:r w:rsidR="005A3756">
        <w:rPr>
          <w:rFonts w:ascii="Times New Roman" w:hAnsi="Times New Roman" w:cs="Times New Roman"/>
        </w:rPr>
        <w:t xml:space="preserve"> </w:t>
      </w:r>
      <w:r w:rsidRPr="00C95F4F">
        <w:rPr>
          <w:rFonts w:ascii="Times New Roman" w:hAnsi="Times New Roman" w:cs="Times New Roman"/>
        </w:rPr>
        <w:t>1: АО Газпром газораспределение (№ ПВ-17/</w:t>
      </w:r>
      <w:r w:rsidR="00AF5A9C">
        <w:rPr>
          <w:rFonts w:ascii="Times New Roman" w:hAnsi="Times New Roman" w:cs="Times New Roman"/>
        </w:rPr>
        <w:t>10392</w:t>
      </w:r>
      <w:r w:rsidRPr="00C95F4F">
        <w:rPr>
          <w:rFonts w:ascii="Times New Roman" w:hAnsi="Times New Roman" w:cs="Times New Roman"/>
        </w:rPr>
        <w:t xml:space="preserve"> от </w:t>
      </w:r>
      <w:r w:rsidR="00AF5A9C">
        <w:rPr>
          <w:rFonts w:ascii="Times New Roman" w:hAnsi="Times New Roman" w:cs="Times New Roman"/>
        </w:rPr>
        <w:t>30.05</w:t>
      </w:r>
      <w:r w:rsidRPr="00C95F4F">
        <w:rPr>
          <w:rFonts w:ascii="Times New Roman" w:hAnsi="Times New Roman" w:cs="Times New Roman"/>
        </w:rPr>
        <w:t xml:space="preserve"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="00AB3622" w:rsidRPr="00AB3622">
        <w:rPr>
          <w:rFonts w:ascii="Times New Roman" w:hAnsi="Times New Roman" w:cs="Times New Roman"/>
        </w:rPr>
        <w:t xml:space="preserve">Российская Федерация, Астраханская область, Приволжский район, </w:t>
      </w:r>
      <w:r w:rsidR="00AF5A9C" w:rsidRPr="00AF5A9C">
        <w:rPr>
          <w:rFonts w:ascii="Times New Roman" w:hAnsi="Times New Roman" w:cs="Times New Roman"/>
        </w:rPr>
        <w:t>с. Осыпной Бугор, ул. Гагарина, 70</w:t>
      </w:r>
      <w:r w:rsidRPr="00C95F4F">
        <w:rPr>
          <w:rFonts w:ascii="Times New Roman" w:hAnsi="Times New Roman" w:cs="Times New Roman"/>
        </w:rPr>
        <w:t>, с кадастровым номером 30:09:</w:t>
      </w:r>
      <w:r w:rsidR="00AF5A9C">
        <w:rPr>
          <w:rFonts w:ascii="Times New Roman" w:hAnsi="Times New Roman" w:cs="Times New Roman"/>
        </w:rPr>
        <w:t>100204</w:t>
      </w:r>
      <w:r w:rsidRPr="00C95F4F">
        <w:rPr>
          <w:rFonts w:ascii="Times New Roman" w:hAnsi="Times New Roman" w:cs="Times New Roman"/>
        </w:rPr>
        <w:t>:</w:t>
      </w:r>
      <w:r w:rsidR="00AF5A9C">
        <w:rPr>
          <w:rFonts w:ascii="Times New Roman" w:hAnsi="Times New Roman" w:cs="Times New Roman"/>
        </w:rPr>
        <w:t>516</w:t>
      </w:r>
      <w:r w:rsidRPr="00C95F4F">
        <w:rPr>
          <w:rFonts w:ascii="Times New Roman" w:hAnsi="Times New Roman" w:cs="Times New Roman"/>
        </w:rPr>
        <w:t xml:space="preserve"> </w:t>
      </w:r>
      <w:r w:rsidR="008A31EC">
        <w:rPr>
          <w:rFonts w:ascii="Times New Roman" w:hAnsi="Times New Roman" w:cs="Times New Roman"/>
        </w:rPr>
        <w:t>возможно к газопроводам, запитанным от ГРС Началово-</w:t>
      </w:r>
      <w:r w:rsidR="00AB3622">
        <w:rPr>
          <w:rFonts w:ascii="Times New Roman" w:hAnsi="Times New Roman" w:cs="Times New Roman"/>
        </w:rPr>
        <w:t>1</w:t>
      </w:r>
      <w:r w:rsidR="008A31EC">
        <w:rPr>
          <w:rFonts w:ascii="Times New Roman" w:hAnsi="Times New Roman" w:cs="Times New Roman"/>
        </w:rPr>
        <w:t xml:space="preserve">А, выходы 2 и 3. Согласно данным, приведенным на общедоступном ресурсе ООО «Газпром </w:t>
      </w:r>
      <w:proofErr w:type="spellStart"/>
      <w:r w:rsidR="008A31EC">
        <w:rPr>
          <w:rFonts w:ascii="Times New Roman" w:hAnsi="Times New Roman" w:cs="Times New Roman"/>
        </w:rPr>
        <w:t>трансгаз</w:t>
      </w:r>
      <w:proofErr w:type="spellEnd"/>
      <w:r w:rsidR="008A31EC">
        <w:rPr>
          <w:rFonts w:ascii="Times New Roman" w:hAnsi="Times New Roman" w:cs="Times New Roman"/>
        </w:rPr>
        <w:t xml:space="preserve"> Ставрополь» (</w:t>
      </w:r>
      <w:r w:rsidR="008A31EC">
        <w:rPr>
          <w:rFonts w:ascii="Times New Roman" w:hAnsi="Times New Roman" w:cs="Times New Roman"/>
          <w:lang w:val="en-US"/>
        </w:rPr>
        <w:t>Stavropol</w:t>
      </w:r>
      <w:r w:rsidR="008A31EC" w:rsidRPr="008A31EC">
        <w:rPr>
          <w:rFonts w:ascii="Times New Roman" w:hAnsi="Times New Roman" w:cs="Times New Roman"/>
        </w:rPr>
        <w:t>-</w:t>
      </w:r>
      <w:r w:rsidR="008A31EC">
        <w:rPr>
          <w:rFonts w:ascii="Times New Roman" w:hAnsi="Times New Roman" w:cs="Times New Roman"/>
          <w:lang w:val="en-US"/>
        </w:rPr>
        <w:t>tr</w:t>
      </w:r>
      <w:r w:rsidR="008A31EC" w:rsidRPr="008A31EC">
        <w:rPr>
          <w:rFonts w:ascii="Times New Roman" w:hAnsi="Times New Roman" w:cs="Times New Roman"/>
        </w:rPr>
        <w:t>.</w:t>
      </w:r>
      <w:r w:rsidR="008A31EC">
        <w:rPr>
          <w:rFonts w:ascii="Times New Roman" w:hAnsi="Times New Roman" w:cs="Times New Roman"/>
          <w:lang w:val="en-US"/>
        </w:rPr>
        <w:t>gazprom</w:t>
      </w:r>
      <w:r w:rsidR="008A31EC" w:rsidRPr="008A31EC">
        <w:rPr>
          <w:rFonts w:ascii="Times New Roman" w:hAnsi="Times New Roman" w:cs="Times New Roman"/>
        </w:rPr>
        <w:t>.</w:t>
      </w:r>
      <w:r w:rsidR="008A31EC">
        <w:rPr>
          <w:rFonts w:ascii="Times New Roman" w:hAnsi="Times New Roman" w:cs="Times New Roman"/>
          <w:lang w:val="en-US"/>
        </w:rPr>
        <w:t>ru</w:t>
      </w:r>
      <w:r w:rsidR="008A31EC" w:rsidRPr="008A31EC">
        <w:rPr>
          <w:rFonts w:ascii="Times New Roman" w:hAnsi="Times New Roman" w:cs="Times New Roman"/>
        </w:rPr>
        <w:t>/</w:t>
      </w:r>
      <w:r w:rsidR="008A31EC">
        <w:rPr>
          <w:rFonts w:ascii="Times New Roman" w:hAnsi="Times New Roman" w:cs="Times New Roman"/>
          <w:lang w:val="en-US"/>
        </w:rPr>
        <w:t>about</w:t>
      </w:r>
      <w:r w:rsidR="008A31EC" w:rsidRPr="008A31EC">
        <w:rPr>
          <w:rFonts w:ascii="Times New Roman" w:hAnsi="Times New Roman" w:cs="Times New Roman"/>
        </w:rPr>
        <w:t>/</w:t>
      </w:r>
      <w:proofErr w:type="spellStart"/>
      <w:r w:rsidR="008A31EC">
        <w:rPr>
          <w:rFonts w:ascii="Times New Roman" w:hAnsi="Times New Roman" w:cs="Times New Roman"/>
          <w:lang w:val="en-US"/>
        </w:rPr>
        <w:t>raskry</w:t>
      </w:r>
      <w:r w:rsidR="008A31EC">
        <w:rPr>
          <w:rFonts w:ascii="Times New Roman" w:hAnsi="Times New Roman" w:cs="Times New Roman"/>
        </w:rPr>
        <w:t>ешу</w:t>
      </w:r>
      <w:proofErr w:type="spellEnd"/>
      <w:r w:rsidR="008A31EC">
        <w:rPr>
          <w:rFonts w:ascii="Times New Roman" w:hAnsi="Times New Roman" w:cs="Times New Roman"/>
        </w:rPr>
        <w:t>-</w:t>
      </w:r>
      <w:r w:rsidR="008A31EC">
        <w:rPr>
          <w:rFonts w:ascii="Times New Roman" w:hAnsi="Times New Roman" w:cs="Times New Roman"/>
          <w:lang w:val="en-US"/>
        </w:rPr>
        <w:t>informatsii</w:t>
      </w:r>
      <w:r w:rsidR="008A31EC">
        <w:rPr>
          <w:rFonts w:ascii="Times New Roman" w:hAnsi="Times New Roman" w:cs="Times New Roman"/>
        </w:rPr>
        <w:t xml:space="preserve">), наличие (дефицит) пропускной способности </w:t>
      </w:r>
      <w:r w:rsidR="00505D91">
        <w:rPr>
          <w:rFonts w:ascii="Times New Roman" w:hAnsi="Times New Roman" w:cs="Times New Roman"/>
        </w:rPr>
        <w:t>ГРС Началово-1А</w:t>
      </w:r>
      <w:r w:rsidR="00471595">
        <w:rPr>
          <w:rFonts w:ascii="Times New Roman" w:hAnsi="Times New Roman" w:cs="Times New Roman"/>
        </w:rPr>
        <w:t xml:space="preserve">, текущую дату составляет: </w:t>
      </w:r>
      <w:r w:rsidR="00505D91">
        <w:rPr>
          <w:rFonts w:ascii="Times New Roman" w:hAnsi="Times New Roman" w:cs="Times New Roman"/>
        </w:rPr>
        <w:t>по</w:t>
      </w:r>
      <w:r w:rsidR="00471595">
        <w:rPr>
          <w:rFonts w:ascii="Times New Roman" w:hAnsi="Times New Roman" w:cs="Times New Roman"/>
        </w:rPr>
        <w:t xml:space="preserve"> выходу 2 –</w:t>
      </w:r>
      <w:r w:rsidR="00505D91">
        <w:rPr>
          <w:rFonts w:ascii="Times New Roman" w:hAnsi="Times New Roman" w:cs="Times New Roman"/>
        </w:rPr>
        <w:t xml:space="preserve"> </w:t>
      </w:r>
      <w:r w:rsidR="00471595">
        <w:rPr>
          <w:rFonts w:ascii="Times New Roman" w:hAnsi="Times New Roman" w:cs="Times New Roman"/>
        </w:rPr>
        <w:t xml:space="preserve">68,88 </w:t>
      </w:r>
      <w:proofErr w:type="spellStart"/>
      <w:r w:rsidR="00471595">
        <w:rPr>
          <w:rFonts w:ascii="Times New Roman" w:hAnsi="Times New Roman" w:cs="Times New Roman"/>
        </w:rPr>
        <w:t>тыс.куб</w:t>
      </w:r>
      <w:proofErr w:type="spellEnd"/>
      <w:r w:rsidR="00471595">
        <w:rPr>
          <w:rFonts w:ascii="Times New Roman" w:hAnsi="Times New Roman" w:cs="Times New Roman"/>
        </w:rPr>
        <w:t xml:space="preserve">. в час, по выходу 3 – 64,78 </w:t>
      </w:r>
      <w:proofErr w:type="spellStart"/>
      <w:r w:rsidR="00471595">
        <w:rPr>
          <w:rFonts w:ascii="Times New Roman" w:hAnsi="Times New Roman" w:cs="Times New Roman"/>
        </w:rPr>
        <w:t>тыс.м</w:t>
      </w:r>
      <w:proofErr w:type="spellEnd"/>
      <w:r w:rsidR="00471595">
        <w:rPr>
          <w:rFonts w:ascii="Times New Roman" w:hAnsi="Times New Roman" w:cs="Times New Roman"/>
        </w:rPr>
        <w:t>.</w:t>
      </w:r>
    </w:p>
    <w:p w:rsidR="00AB3622" w:rsidRPr="00AB3622" w:rsidRDefault="00CD18C9" w:rsidP="00AB36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1:</w:t>
      </w:r>
      <w:r w:rsidR="00AB3622" w:rsidRPr="00AB3622">
        <w:rPr>
          <w:rFonts w:ascii="Times New Roman" w:hAnsi="Times New Roman" w:cs="Times New Roman"/>
        </w:rPr>
        <w:t xml:space="preserve"> МБУ МО Приволжский муниципальный район Астраханской области БИОМ (письмо № </w:t>
      </w:r>
      <w:r w:rsidR="007022F0">
        <w:rPr>
          <w:rFonts w:ascii="Times New Roman" w:hAnsi="Times New Roman" w:cs="Times New Roman"/>
        </w:rPr>
        <w:t>529 от 30.05</w:t>
      </w:r>
      <w:r w:rsidR="00AB3622">
        <w:rPr>
          <w:rFonts w:ascii="Times New Roman" w:hAnsi="Times New Roman" w:cs="Times New Roman"/>
        </w:rPr>
        <w:t>.025</w:t>
      </w:r>
      <w:r w:rsidR="00AB3622" w:rsidRPr="00AB3622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</w:t>
      </w:r>
      <w:r w:rsidR="00AB3622">
        <w:rPr>
          <w:rFonts w:ascii="Times New Roman" w:hAnsi="Times New Roman" w:cs="Times New Roman"/>
        </w:rPr>
        <w:t>:</w:t>
      </w:r>
      <w:r w:rsidR="00AB3622" w:rsidRPr="00AB3622">
        <w:t xml:space="preserve"> </w:t>
      </w:r>
      <w:r w:rsidR="00AB3622" w:rsidRPr="00AB3622">
        <w:rPr>
          <w:rFonts w:ascii="Times New Roman" w:hAnsi="Times New Roman" w:cs="Times New Roman"/>
        </w:rPr>
        <w:t xml:space="preserve">Российская Федерация, Астраханская область, Приволжский район, </w:t>
      </w:r>
      <w:r w:rsidR="007022F0" w:rsidRPr="007022F0">
        <w:rPr>
          <w:rFonts w:ascii="Times New Roman" w:hAnsi="Times New Roman" w:cs="Times New Roman"/>
        </w:rPr>
        <w:t>с. Осыпной Бугор, ул. Гагарина, 70</w:t>
      </w:r>
      <w:r w:rsidR="00AB3622">
        <w:rPr>
          <w:rFonts w:ascii="Times New Roman" w:hAnsi="Times New Roman" w:cs="Times New Roman"/>
        </w:rPr>
        <w:t xml:space="preserve"> </w:t>
      </w:r>
      <w:r w:rsidR="00AB3622" w:rsidRPr="00AB3622">
        <w:rPr>
          <w:rFonts w:ascii="Times New Roman" w:hAnsi="Times New Roman" w:cs="Times New Roman"/>
        </w:rPr>
        <w:t xml:space="preserve">составляет </w:t>
      </w:r>
      <w:r w:rsidR="007022F0">
        <w:rPr>
          <w:rFonts w:ascii="Times New Roman" w:hAnsi="Times New Roman" w:cs="Times New Roman"/>
        </w:rPr>
        <w:t>110</w:t>
      </w:r>
      <w:r w:rsidR="00AB3622" w:rsidRPr="00AB3622">
        <w:rPr>
          <w:rFonts w:ascii="Times New Roman" w:hAnsi="Times New Roman" w:cs="Times New Roman"/>
        </w:rPr>
        <w:t xml:space="preserve"> ПНД.</w:t>
      </w:r>
    </w:p>
    <w:p w:rsidR="007022F0" w:rsidRPr="007022F0" w:rsidRDefault="007022F0" w:rsidP="007022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22F0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2</w:t>
      </w:r>
      <w:r w:rsidRPr="007022F0">
        <w:rPr>
          <w:rFonts w:ascii="Times New Roman" w:hAnsi="Times New Roman" w:cs="Times New Roman"/>
        </w:rPr>
        <w:t>: АО Газпром газораспределение (№ ПВ-17/10392 от 30.05.2025г.)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Приволжский район, с. Осыпной Бугор, ул. Виноградная, 73, с кадастровым номером 30:09:100204:51</w:t>
      </w:r>
      <w:r>
        <w:rPr>
          <w:rFonts w:ascii="Times New Roman" w:hAnsi="Times New Roman" w:cs="Times New Roman"/>
        </w:rPr>
        <w:t>5</w:t>
      </w:r>
      <w:r w:rsidRPr="007022F0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7022F0">
        <w:rPr>
          <w:rFonts w:ascii="Times New Roman" w:hAnsi="Times New Roman" w:cs="Times New Roman"/>
        </w:rPr>
        <w:t>трансгаз</w:t>
      </w:r>
      <w:proofErr w:type="spellEnd"/>
      <w:r w:rsidRPr="007022F0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7022F0">
        <w:rPr>
          <w:rFonts w:ascii="Times New Roman" w:hAnsi="Times New Roman" w:cs="Times New Roman"/>
        </w:rPr>
        <w:t>about</w:t>
      </w:r>
      <w:proofErr w:type="spellEnd"/>
      <w:r w:rsidRPr="007022F0">
        <w:rPr>
          <w:rFonts w:ascii="Times New Roman" w:hAnsi="Times New Roman" w:cs="Times New Roman"/>
        </w:rPr>
        <w:t>/</w:t>
      </w:r>
      <w:proofErr w:type="spellStart"/>
      <w:r w:rsidRPr="007022F0">
        <w:rPr>
          <w:rFonts w:ascii="Times New Roman" w:hAnsi="Times New Roman" w:cs="Times New Roman"/>
        </w:rPr>
        <w:t>raskryешу</w:t>
      </w:r>
      <w:proofErr w:type="spellEnd"/>
      <w:r w:rsidRPr="007022F0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68,88 </w:t>
      </w:r>
      <w:proofErr w:type="spellStart"/>
      <w:r w:rsidRPr="007022F0">
        <w:rPr>
          <w:rFonts w:ascii="Times New Roman" w:hAnsi="Times New Roman" w:cs="Times New Roman"/>
        </w:rPr>
        <w:t>тыс.куб</w:t>
      </w:r>
      <w:proofErr w:type="spellEnd"/>
      <w:r w:rsidRPr="007022F0">
        <w:rPr>
          <w:rFonts w:ascii="Times New Roman" w:hAnsi="Times New Roman" w:cs="Times New Roman"/>
        </w:rPr>
        <w:t xml:space="preserve">. в час, по выходу 3 – 64,78 </w:t>
      </w:r>
      <w:proofErr w:type="spellStart"/>
      <w:r w:rsidRPr="007022F0">
        <w:rPr>
          <w:rFonts w:ascii="Times New Roman" w:hAnsi="Times New Roman" w:cs="Times New Roman"/>
        </w:rPr>
        <w:t>тыс.м</w:t>
      </w:r>
      <w:proofErr w:type="spellEnd"/>
      <w:r w:rsidRPr="007022F0">
        <w:rPr>
          <w:rFonts w:ascii="Times New Roman" w:hAnsi="Times New Roman" w:cs="Times New Roman"/>
        </w:rPr>
        <w:t>.</w:t>
      </w:r>
    </w:p>
    <w:p w:rsidR="007022F0" w:rsidRDefault="007022F0" w:rsidP="007022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22F0">
        <w:rPr>
          <w:rFonts w:ascii="Times New Roman" w:hAnsi="Times New Roman" w:cs="Times New Roman"/>
        </w:rPr>
        <w:t>Лот №</w:t>
      </w:r>
      <w:r>
        <w:rPr>
          <w:rFonts w:ascii="Times New Roman" w:hAnsi="Times New Roman" w:cs="Times New Roman"/>
        </w:rPr>
        <w:t xml:space="preserve"> 2</w:t>
      </w:r>
      <w:r w:rsidRPr="007022F0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529 от 30.05.025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Приволжский район, с. Осыпной Бугор, ул. Виноградная, 73 составляет 110 ПНД.</w:t>
      </w:r>
    </w:p>
    <w:p w:rsidR="00254AA7" w:rsidRDefault="00254AA7" w:rsidP="007022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54AA7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254AA7">
        <w:rPr>
          <w:rFonts w:ascii="Times New Roman" w:hAnsi="Times New Roman" w:cs="Times New Roman"/>
        </w:rPr>
        <w:t xml:space="preserve">: АО Газпром газораспределение (№ </w:t>
      </w:r>
      <w:r>
        <w:rPr>
          <w:rFonts w:ascii="Times New Roman" w:hAnsi="Times New Roman" w:cs="Times New Roman"/>
        </w:rPr>
        <w:t>СХ-17/12594</w:t>
      </w:r>
      <w:r w:rsidRPr="00254AA7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27.06</w:t>
      </w:r>
      <w:r w:rsidRPr="00254AA7">
        <w:rPr>
          <w:rFonts w:ascii="Times New Roman" w:hAnsi="Times New Roman" w:cs="Times New Roman"/>
        </w:rPr>
        <w:t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</w:t>
      </w:r>
      <w:r>
        <w:rPr>
          <w:rFonts w:ascii="Times New Roman" w:hAnsi="Times New Roman" w:cs="Times New Roman"/>
        </w:rPr>
        <w:t xml:space="preserve">ства, расположенного по адресу: </w:t>
      </w:r>
      <w:r w:rsidRPr="00254AA7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Килинчинский сельсовет, село Килинчи, улица 2-я Шоссейная, земельный участок, 27, с кадастровым номером 30:09:</w:t>
      </w:r>
      <w:r>
        <w:rPr>
          <w:rFonts w:ascii="Times New Roman" w:hAnsi="Times New Roman" w:cs="Times New Roman"/>
        </w:rPr>
        <w:t>080201:545</w:t>
      </w:r>
      <w:r w:rsidRPr="00254AA7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254AA7">
        <w:rPr>
          <w:rFonts w:ascii="Times New Roman" w:hAnsi="Times New Roman" w:cs="Times New Roman"/>
        </w:rPr>
        <w:t>трансгаз</w:t>
      </w:r>
      <w:proofErr w:type="spellEnd"/>
      <w:r w:rsidRPr="00254AA7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254AA7">
        <w:rPr>
          <w:rFonts w:ascii="Times New Roman" w:hAnsi="Times New Roman" w:cs="Times New Roman"/>
        </w:rPr>
        <w:t>about</w:t>
      </w:r>
      <w:proofErr w:type="spellEnd"/>
      <w:r w:rsidRPr="00254AA7">
        <w:rPr>
          <w:rFonts w:ascii="Times New Roman" w:hAnsi="Times New Roman" w:cs="Times New Roman"/>
        </w:rPr>
        <w:t>/</w:t>
      </w:r>
      <w:proofErr w:type="spellStart"/>
      <w:r w:rsidRPr="00254AA7">
        <w:rPr>
          <w:rFonts w:ascii="Times New Roman" w:hAnsi="Times New Roman" w:cs="Times New Roman"/>
        </w:rPr>
        <w:t>raskryешу</w:t>
      </w:r>
      <w:proofErr w:type="spellEnd"/>
      <w:r w:rsidRPr="00254AA7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68,88 </w:t>
      </w:r>
      <w:proofErr w:type="spellStart"/>
      <w:r w:rsidRPr="00254AA7">
        <w:rPr>
          <w:rFonts w:ascii="Times New Roman" w:hAnsi="Times New Roman" w:cs="Times New Roman"/>
        </w:rPr>
        <w:t>тыс.куб</w:t>
      </w:r>
      <w:proofErr w:type="spellEnd"/>
      <w:r w:rsidRPr="00254AA7">
        <w:rPr>
          <w:rFonts w:ascii="Times New Roman" w:hAnsi="Times New Roman" w:cs="Times New Roman"/>
        </w:rPr>
        <w:t xml:space="preserve">. в час, по выходу 3 – 64,78 </w:t>
      </w:r>
      <w:proofErr w:type="spellStart"/>
      <w:r w:rsidRPr="00254AA7">
        <w:rPr>
          <w:rFonts w:ascii="Times New Roman" w:hAnsi="Times New Roman" w:cs="Times New Roman"/>
        </w:rPr>
        <w:t>тыс.м</w:t>
      </w:r>
      <w:proofErr w:type="spellEnd"/>
      <w:r w:rsidRPr="00254AA7">
        <w:rPr>
          <w:rFonts w:ascii="Times New Roman" w:hAnsi="Times New Roman" w:cs="Times New Roman"/>
        </w:rPr>
        <w:t>.</w:t>
      </w:r>
    </w:p>
    <w:p w:rsidR="00254AA7" w:rsidRDefault="00254AA7" w:rsidP="007022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54AA7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254AA7">
        <w:rPr>
          <w:rFonts w:ascii="Times New Roman" w:hAnsi="Times New Roman" w:cs="Times New Roman"/>
        </w:rPr>
        <w:t xml:space="preserve">: АО Газпром газораспределение (№ СХ-17/12594 от 27.06.2025г.)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</w:t>
      </w:r>
      <w:r w:rsidRPr="00254AA7">
        <w:rPr>
          <w:rFonts w:ascii="Times New Roman" w:hAnsi="Times New Roman" w:cs="Times New Roman"/>
        </w:rPr>
        <w:lastRenderedPageBreak/>
        <w:t>поселение Килинчинский сельсовет, село Килинчи, улица 2-я Шоссейная, земельный участок, 2</w:t>
      </w:r>
      <w:r>
        <w:rPr>
          <w:rFonts w:ascii="Times New Roman" w:hAnsi="Times New Roman" w:cs="Times New Roman"/>
        </w:rPr>
        <w:t>8</w:t>
      </w:r>
      <w:r w:rsidRPr="00254AA7">
        <w:rPr>
          <w:rFonts w:ascii="Times New Roman" w:hAnsi="Times New Roman" w:cs="Times New Roman"/>
        </w:rPr>
        <w:t>, с кадастровым номером 30:09:080201:54</w:t>
      </w:r>
      <w:r>
        <w:rPr>
          <w:rFonts w:ascii="Times New Roman" w:hAnsi="Times New Roman" w:cs="Times New Roman"/>
        </w:rPr>
        <w:t>4</w:t>
      </w:r>
      <w:r w:rsidRPr="00254AA7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254AA7">
        <w:rPr>
          <w:rFonts w:ascii="Times New Roman" w:hAnsi="Times New Roman" w:cs="Times New Roman"/>
        </w:rPr>
        <w:t>трансгаз</w:t>
      </w:r>
      <w:proofErr w:type="spellEnd"/>
      <w:r w:rsidRPr="00254AA7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254AA7">
        <w:rPr>
          <w:rFonts w:ascii="Times New Roman" w:hAnsi="Times New Roman" w:cs="Times New Roman"/>
        </w:rPr>
        <w:t>about</w:t>
      </w:r>
      <w:proofErr w:type="spellEnd"/>
      <w:r w:rsidRPr="00254AA7">
        <w:rPr>
          <w:rFonts w:ascii="Times New Roman" w:hAnsi="Times New Roman" w:cs="Times New Roman"/>
        </w:rPr>
        <w:t>/</w:t>
      </w:r>
      <w:proofErr w:type="spellStart"/>
      <w:r w:rsidRPr="00254AA7">
        <w:rPr>
          <w:rFonts w:ascii="Times New Roman" w:hAnsi="Times New Roman" w:cs="Times New Roman"/>
        </w:rPr>
        <w:t>raskryешу</w:t>
      </w:r>
      <w:proofErr w:type="spellEnd"/>
      <w:r w:rsidRPr="00254AA7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68,88 </w:t>
      </w:r>
      <w:proofErr w:type="spellStart"/>
      <w:r w:rsidRPr="00254AA7">
        <w:rPr>
          <w:rFonts w:ascii="Times New Roman" w:hAnsi="Times New Roman" w:cs="Times New Roman"/>
        </w:rPr>
        <w:t>тыс.куб</w:t>
      </w:r>
      <w:proofErr w:type="spellEnd"/>
      <w:r w:rsidRPr="00254AA7">
        <w:rPr>
          <w:rFonts w:ascii="Times New Roman" w:hAnsi="Times New Roman" w:cs="Times New Roman"/>
        </w:rPr>
        <w:t xml:space="preserve">. в час, по выходу 3 – 64,78 </w:t>
      </w:r>
      <w:proofErr w:type="spellStart"/>
      <w:r w:rsidRPr="00254AA7">
        <w:rPr>
          <w:rFonts w:ascii="Times New Roman" w:hAnsi="Times New Roman" w:cs="Times New Roman"/>
        </w:rPr>
        <w:t>тыс.м</w:t>
      </w:r>
      <w:proofErr w:type="spellEnd"/>
      <w:r w:rsidRPr="00254AA7">
        <w:rPr>
          <w:rFonts w:ascii="Times New Roman" w:hAnsi="Times New Roman" w:cs="Times New Roman"/>
        </w:rPr>
        <w:t>.</w:t>
      </w:r>
    </w:p>
    <w:p w:rsidR="00254AA7" w:rsidRDefault="00254AA7" w:rsidP="007022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3</w:t>
      </w:r>
      <w:r w:rsidRPr="00254AA7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52</w:t>
      </w:r>
      <w:r>
        <w:rPr>
          <w:rFonts w:ascii="Times New Roman" w:hAnsi="Times New Roman" w:cs="Times New Roman"/>
        </w:rPr>
        <w:t>2</w:t>
      </w:r>
      <w:r w:rsidRPr="00254AA7">
        <w:rPr>
          <w:rFonts w:ascii="Times New Roman" w:hAnsi="Times New Roman" w:cs="Times New Roman"/>
        </w:rPr>
        <w:t xml:space="preserve"> от 30.05.025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муниципальный район Приволжский, сельское поселение Килинчинский сельсовет, село Килинчи, улица 2-я </w:t>
      </w:r>
      <w:r>
        <w:rPr>
          <w:rFonts w:ascii="Times New Roman" w:hAnsi="Times New Roman" w:cs="Times New Roman"/>
        </w:rPr>
        <w:t>Шоссейная, земельный участок, 27</w:t>
      </w:r>
      <w:r w:rsidRPr="00254AA7">
        <w:rPr>
          <w:rFonts w:ascii="Times New Roman" w:hAnsi="Times New Roman" w:cs="Times New Roman"/>
        </w:rPr>
        <w:t xml:space="preserve"> составляет 110 ПНД.</w:t>
      </w:r>
    </w:p>
    <w:p w:rsidR="00254AA7" w:rsidRDefault="00254AA7" w:rsidP="007022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54AA7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254AA7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52</w:t>
      </w:r>
      <w:r>
        <w:rPr>
          <w:rFonts w:ascii="Times New Roman" w:hAnsi="Times New Roman" w:cs="Times New Roman"/>
        </w:rPr>
        <w:t>2</w:t>
      </w:r>
      <w:r w:rsidRPr="00254AA7">
        <w:rPr>
          <w:rFonts w:ascii="Times New Roman" w:hAnsi="Times New Roman" w:cs="Times New Roman"/>
        </w:rPr>
        <w:t xml:space="preserve"> от 30.05.025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муниципальный район Приволжский, сельское поселение Килинчинский сельсовет, село Килинчи, улица 2-я Шоссейная, земельный участок, 28</w:t>
      </w:r>
      <w:r>
        <w:rPr>
          <w:rFonts w:ascii="Times New Roman" w:hAnsi="Times New Roman" w:cs="Times New Roman"/>
        </w:rPr>
        <w:t xml:space="preserve"> </w:t>
      </w:r>
      <w:r w:rsidRPr="00254AA7">
        <w:rPr>
          <w:rFonts w:ascii="Times New Roman" w:hAnsi="Times New Roman" w:cs="Times New Roman"/>
        </w:rPr>
        <w:t>составляет 110 ПНД.</w:t>
      </w:r>
    </w:p>
    <w:p w:rsidR="001C688A" w:rsidRPr="002E7F09" w:rsidRDefault="00D10FD1" w:rsidP="007022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 xml:space="preserve">Плата за подключения объекта к сетям инженерно-технического обеспечения не определена. </w:t>
      </w:r>
      <w:r w:rsidR="001C688A" w:rsidRPr="002E7F0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10FD1" w:rsidRPr="002E7F0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>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903D19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560585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93286B" w:rsidRDefault="008C29A6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8C29A6" w:rsidRPr="0093286B" w:rsidRDefault="0093286B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3286B">
        <w:rPr>
          <w:rFonts w:ascii="Times New Roman" w:hAnsi="Times New Roman" w:cs="Times New Roman"/>
        </w:rPr>
        <w:t xml:space="preserve"> </w:t>
      </w: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lastRenderedPageBreak/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7022F0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Врио 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>
        <w:rPr>
          <w:rFonts w:ascii="Times New Roman" w:hAnsi="Times New Roman" w:cs="Times New Roman"/>
        </w:rPr>
        <w:t>а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="006966EF"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О.Г. Филиппов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8A675D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5"/>
  </w:num>
  <w:num w:numId="10">
    <w:abstractNumId w:val="14"/>
  </w:num>
  <w:num w:numId="11">
    <w:abstractNumId w:val="2"/>
  </w:num>
  <w:num w:numId="12">
    <w:abstractNumId w:val="16"/>
  </w:num>
  <w:num w:numId="13">
    <w:abstractNumId w:val="24"/>
  </w:num>
  <w:num w:numId="14">
    <w:abstractNumId w:val="18"/>
  </w:num>
  <w:num w:numId="15">
    <w:abstractNumId w:val="21"/>
  </w:num>
  <w:num w:numId="16">
    <w:abstractNumId w:val="26"/>
  </w:num>
  <w:num w:numId="17">
    <w:abstractNumId w:val="5"/>
  </w:num>
  <w:num w:numId="18">
    <w:abstractNumId w:val="22"/>
  </w:num>
  <w:num w:numId="19">
    <w:abstractNumId w:val="19"/>
  </w:num>
  <w:num w:numId="20">
    <w:abstractNumId w:val="17"/>
  </w:num>
  <w:num w:numId="21">
    <w:abstractNumId w:val="23"/>
  </w:num>
  <w:num w:numId="22">
    <w:abstractNumId w:val="27"/>
  </w:num>
  <w:num w:numId="23">
    <w:abstractNumId w:val="3"/>
  </w:num>
  <w:num w:numId="24">
    <w:abstractNumId w:val="1"/>
  </w:num>
  <w:num w:numId="25">
    <w:abstractNumId w:val="12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2660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10B0"/>
    <w:rsid w:val="0007127B"/>
    <w:rsid w:val="00076FA2"/>
    <w:rsid w:val="00077E2D"/>
    <w:rsid w:val="0009222D"/>
    <w:rsid w:val="000B1979"/>
    <w:rsid w:val="000B4388"/>
    <w:rsid w:val="000C03DC"/>
    <w:rsid w:val="000C2287"/>
    <w:rsid w:val="000C2345"/>
    <w:rsid w:val="000C2D74"/>
    <w:rsid w:val="000D2B09"/>
    <w:rsid w:val="000D769C"/>
    <w:rsid w:val="000E2153"/>
    <w:rsid w:val="000E3C01"/>
    <w:rsid w:val="000E4AF5"/>
    <w:rsid w:val="000F39D6"/>
    <w:rsid w:val="00103720"/>
    <w:rsid w:val="00104B09"/>
    <w:rsid w:val="00114B75"/>
    <w:rsid w:val="00116DEC"/>
    <w:rsid w:val="00133951"/>
    <w:rsid w:val="0013634B"/>
    <w:rsid w:val="00136DCE"/>
    <w:rsid w:val="0015231E"/>
    <w:rsid w:val="00164957"/>
    <w:rsid w:val="00164C3C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C688A"/>
    <w:rsid w:val="001D4470"/>
    <w:rsid w:val="001D5D9C"/>
    <w:rsid w:val="001D698C"/>
    <w:rsid w:val="001D6DAE"/>
    <w:rsid w:val="001D71BC"/>
    <w:rsid w:val="00206417"/>
    <w:rsid w:val="00212A5A"/>
    <w:rsid w:val="00212C64"/>
    <w:rsid w:val="00213228"/>
    <w:rsid w:val="00214C24"/>
    <w:rsid w:val="002240CF"/>
    <w:rsid w:val="0023229E"/>
    <w:rsid w:val="002326A4"/>
    <w:rsid w:val="002328E9"/>
    <w:rsid w:val="0023341A"/>
    <w:rsid w:val="0023408C"/>
    <w:rsid w:val="00235FAD"/>
    <w:rsid w:val="00250FC8"/>
    <w:rsid w:val="002527CE"/>
    <w:rsid w:val="002536FC"/>
    <w:rsid w:val="00254AA7"/>
    <w:rsid w:val="00255903"/>
    <w:rsid w:val="0025680B"/>
    <w:rsid w:val="0025715C"/>
    <w:rsid w:val="0026217B"/>
    <w:rsid w:val="00264621"/>
    <w:rsid w:val="002665A6"/>
    <w:rsid w:val="00293139"/>
    <w:rsid w:val="00294555"/>
    <w:rsid w:val="00296F5E"/>
    <w:rsid w:val="002A3A76"/>
    <w:rsid w:val="002B17DF"/>
    <w:rsid w:val="002B2E50"/>
    <w:rsid w:val="002B4BEA"/>
    <w:rsid w:val="002B5696"/>
    <w:rsid w:val="002B7C3B"/>
    <w:rsid w:val="002C70BB"/>
    <w:rsid w:val="002D2F93"/>
    <w:rsid w:val="002D73AF"/>
    <w:rsid w:val="002D7430"/>
    <w:rsid w:val="002D760D"/>
    <w:rsid w:val="002E43AC"/>
    <w:rsid w:val="002E7F09"/>
    <w:rsid w:val="002F0010"/>
    <w:rsid w:val="002F475B"/>
    <w:rsid w:val="002F4EA7"/>
    <w:rsid w:val="002F64AE"/>
    <w:rsid w:val="002F73FC"/>
    <w:rsid w:val="00302C51"/>
    <w:rsid w:val="00312D63"/>
    <w:rsid w:val="003342C3"/>
    <w:rsid w:val="00334D7B"/>
    <w:rsid w:val="00343209"/>
    <w:rsid w:val="0034392E"/>
    <w:rsid w:val="00344073"/>
    <w:rsid w:val="00346169"/>
    <w:rsid w:val="003502F6"/>
    <w:rsid w:val="0035597D"/>
    <w:rsid w:val="00362B4F"/>
    <w:rsid w:val="00362EC3"/>
    <w:rsid w:val="0036346B"/>
    <w:rsid w:val="003738CF"/>
    <w:rsid w:val="00376D7D"/>
    <w:rsid w:val="00380B55"/>
    <w:rsid w:val="0039702A"/>
    <w:rsid w:val="00397B36"/>
    <w:rsid w:val="003B29E7"/>
    <w:rsid w:val="003B30FD"/>
    <w:rsid w:val="003B337B"/>
    <w:rsid w:val="003C48A6"/>
    <w:rsid w:val="003C4A8C"/>
    <w:rsid w:val="003C4FF9"/>
    <w:rsid w:val="003D0645"/>
    <w:rsid w:val="003D4F06"/>
    <w:rsid w:val="003D6552"/>
    <w:rsid w:val="003E2AAD"/>
    <w:rsid w:val="003F4E3B"/>
    <w:rsid w:val="00400DD7"/>
    <w:rsid w:val="00402F70"/>
    <w:rsid w:val="00415132"/>
    <w:rsid w:val="00415FEF"/>
    <w:rsid w:val="004208F6"/>
    <w:rsid w:val="00430DC5"/>
    <w:rsid w:val="004318D9"/>
    <w:rsid w:val="00433F2F"/>
    <w:rsid w:val="0043684F"/>
    <w:rsid w:val="0044328E"/>
    <w:rsid w:val="004438A7"/>
    <w:rsid w:val="004438C6"/>
    <w:rsid w:val="004445ED"/>
    <w:rsid w:val="00447569"/>
    <w:rsid w:val="00450467"/>
    <w:rsid w:val="00454C96"/>
    <w:rsid w:val="00457BEE"/>
    <w:rsid w:val="00471595"/>
    <w:rsid w:val="0047407E"/>
    <w:rsid w:val="00477658"/>
    <w:rsid w:val="0048000A"/>
    <w:rsid w:val="004842EF"/>
    <w:rsid w:val="00497A17"/>
    <w:rsid w:val="004A297C"/>
    <w:rsid w:val="004A3231"/>
    <w:rsid w:val="004A4F79"/>
    <w:rsid w:val="004A59C9"/>
    <w:rsid w:val="004A6CF1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E7562"/>
    <w:rsid w:val="004F195D"/>
    <w:rsid w:val="004F58FD"/>
    <w:rsid w:val="004F6252"/>
    <w:rsid w:val="005003CF"/>
    <w:rsid w:val="005045F4"/>
    <w:rsid w:val="00505D91"/>
    <w:rsid w:val="00507802"/>
    <w:rsid w:val="005144A9"/>
    <w:rsid w:val="005176E3"/>
    <w:rsid w:val="00523120"/>
    <w:rsid w:val="00524891"/>
    <w:rsid w:val="005262F2"/>
    <w:rsid w:val="00541836"/>
    <w:rsid w:val="00545D4E"/>
    <w:rsid w:val="00550C4B"/>
    <w:rsid w:val="00554180"/>
    <w:rsid w:val="0055732E"/>
    <w:rsid w:val="00560585"/>
    <w:rsid w:val="00573224"/>
    <w:rsid w:val="00576366"/>
    <w:rsid w:val="005826F1"/>
    <w:rsid w:val="00583FA1"/>
    <w:rsid w:val="00593163"/>
    <w:rsid w:val="00594C91"/>
    <w:rsid w:val="005A2C41"/>
    <w:rsid w:val="005A2E0C"/>
    <w:rsid w:val="005A3756"/>
    <w:rsid w:val="005A5739"/>
    <w:rsid w:val="005B3A6E"/>
    <w:rsid w:val="005B6D11"/>
    <w:rsid w:val="005C0B93"/>
    <w:rsid w:val="005C2796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5BCA"/>
    <w:rsid w:val="00617C09"/>
    <w:rsid w:val="0062163E"/>
    <w:rsid w:val="00637C2F"/>
    <w:rsid w:val="00637C84"/>
    <w:rsid w:val="00647EEE"/>
    <w:rsid w:val="00656517"/>
    <w:rsid w:val="0066621E"/>
    <w:rsid w:val="006662F7"/>
    <w:rsid w:val="00670867"/>
    <w:rsid w:val="00671E71"/>
    <w:rsid w:val="006746FF"/>
    <w:rsid w:val="0067628D"/>
    <w:rsid w:val="00680F86"/>
    <w:rsid w:val="006829AD"/>
    <w:rsid w:val="00682DB2"/>
    <w:rsid w:val="006966EF"/>
    <w:rsid w:val="006A14B7"/>
    <w:rsid w:val="006A3E27"/>
    <w:rsid w:val="006A5A6C"/>
    <w:rsid w:val="006B5F71"/>
    <w:rsid w:val="006B70CB"/>
    <w:rsid w:val="006C0B1A"/>
    <w:rsid w:val="006C4F1C"/>
    <w:rsid w:val="006D413B"/>
    <w:rsid w:val="007022F0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0DC1"/>
    <w:rsid w:val="00733301"/>
    <w:rsid w:val="00734383"/>
    <w:rsid w:val="00737A2C"/>
    <w:rsid w:val="0074204B"/>
    <w:rsid w:val="00742870"/>
    <w:rsid w:val="00745C2B"/>
    <w:rsid w:val="00750CD1"/>
    <w:rsid w:val="0075373F"/>
    <w:rsid w:val="00767955"/>
    <w:rsid w:val="007717CE"/>
    <w:rsid w:val="00771B9D"/>
    <w:rsid w:val="007740FE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62664"/>
    <w:rsid w:val="008718E3"/>
    <w:rsid w:val="00883A17"/>
    <w:rsid w:val="00887CC7"/>
    <w:rsid w:val="00887EF7"/>
    <w:rsid w:val="0089255B"/>
    <w:rsid w:val="00895C84"/>
    <w:rsid w:val="008A1DE5"/>
    <w:rsid w:val="008A31EC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05993"/>
    <w:rsid w:val="0091197F"/>
    <w:rsid w:val="009157B8"/>
    <w:rsid w:val="0091729A"/>
    <w:rsid w:val="0092278A"/>
    <w:rsid w:val="009239C7"/>
    <w:rsid w:val="00924909"/>
    <w:rsid w:val="00926CBD"/>
    <w:rsid w:val="00931F34"/>
    <w:rsid w:val="0093286B"/>
    <w:rsid w:val="00935362"/>
    <w:rsid w:val="00954B09"/>
    <w:rsid w:val="00983048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5837"/>
    <w:rsid w:val="00A069D0"/>
    <w:rsid w:val="00A21DC2"/>
    <w:rsid w:val="00A23100"/>
    <w:rsid w:val="00A23239"/>
    <w:rsid w:val="00A25523"/>
    <w:rsid w:val="00A2779B"/>
    <w:rsid w:val="00A27EF5"/>
    <w:rsid w:val="00A40B1D"/>
    <w:rsid w:val="00A42D12"/>
    <w:rsid w:val="00A44AD7"/>
    <w:rsid w:val="00A46EE1"/>
    <w:rsid w:val="00A503B9"/>
    <w:rsid w:val="00A50BFC"/>
    <w:rsid w:val="00A515A9"/>
    <w:rsid w:val="00A56725"/>
    <w:rsid w:val="00A633B8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2EAD"/>
    <w:rsid w:val="00AA34F1"/>
    <w:rsid w:val="00AB20AD"/>
    <w:rsid w:val="00AB3622"/>
    <w:rsid w:val="00AB3CC1"/>
    <w:rsid w:val="00AB4C58"/>
    <w:rsid w:val="00AD422E"/>
    <w:rsid w:val="00AD4B33"/>
    <w:rsid w:val="00AE20C6"/>
    <w:rsid w:val="00AE3612"/>
    <w:rsid w:val="00AF142F"/>
    <w:rsid w:val="00AF5A9C"/>
    <w:rsid w:val="00B036A8"/>
    <w:rsid w:val="00B1227B"/>
    <w:rsid w:val="00B12919"/>
    <w:rsid w:val="00B12B6D"/>
    <w:rsid w:val="00B13DD8"/>
    <w:rsid w:val="00B172C0"/>
    <w:rsid w:val="00B178EE"/>
    <w:rsid w:val="00B208F7"/>
    <w:rsid w:val="00B22811"/>
    <w:rsid w:val="00B22A1B"/>
    <w:rsid w:val="00B234F9"/>
    <w:rsid w:val="00B26C48"/>
    <w:rsid w:val="00B312EB"/>
    <w:rsid w:val="00B427F5"/>
    <w:rsid w:val="00B45B74"/>
    <w:rsid w:val="00B463D7"/>
    <w:rsid w:val="00B52AAE"/>
    <w:rsid w:val="00B6466F"/>
    <w:rsid w:val="00B657C6"/>
    <w:rsid w:val="00B660AE"/>
    <w:rsid w:val="00B804BD"/>
    <w:rsid w:val="00BB0191"/>
    <w:rsid w:val="00BB019E"/>
    <w:rsid w:val="00BB3F93"/>
    <w:rsid w:val="00BB7AA9"/>
    <w:rsid w:val="00BC26B1"/>
    <w:rsid w:val="00BC5D48"/>
    <w:rsid w:val="00BD15C5"/>
    <w:rsid w:val="00BD23FF"/>
    <w:rsid w:val="00BD6780"/>
    <w:rsid w:val="00BE2FD7"/>
    <w:rsid w:val="00BE3389"/>
    <w:rsid w:val="00BF38C9"/>
    <w:rsid w:val="00C10F81"/>
    <w:rsid w:val="00C2088A"/>
    <w:rsid w:val="00C325D4"/>
    <w:rsid w:val="00C3551F"/>
    <w:rsid w:val="00C35A72"/>
    <w:rsid w:val="00C35FB2"/>
    <w:rsid w:val="00C43426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9595A"/>
    <w:rsid w:val="00C95F4F"/>
    <w:rsid w:val="00C97380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D18C9"/>
    <w:rsid w:val="00CD276B"/>
    <w:rsid w:val="00CE2A0A"/>
    <w:rsid w:val="00CE503E"/>
    <w:rsid w:val="00CF341B"/>
    <w:rsid w:val="00CF468E"/>
    <w:rsid w:val="00D01764"/>
    <w:rsid w:val="00D03A9B"/>
    <w:rsid w:val="00D03CFB"/>
    <w:rsid w:val="00D10FD1"/>
    <w:rsid w:val="00D13A79"/>
    <w:rsid w:val="00D13A90"/>
    <w:rsid w:val="00D25F7D"/>
    <w:rsid w:val="00D34BF0"/>
    <w:rsid w:val="00D37166"/>
    <w:rsid w:val="00D3789C"/>
    <w:rsid w:val="00D42C9F"/>
    <w:rsid w:val="00D508F3"/>
    <w:rsid w:val="00D5577D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1C19"/>
    <w:rsid w:val="00DB2DC1"/>
    <w:rsid w:val="00DB3668"/>
    <w:rsid w:val="00DB3A3C"/>
    <w:rsid w:val="00DC15B4"/>
    <w:rsid w:val="00DC31A2"/>
    <w:rsid w:val="00DC32F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52CBC"/>
    <w:rsid w:val="00E53624"/>
    <w:rsid w:val="00E64E3E"/>
    <w:rsid w:val="00E7346F"/>
    <w:rsid w:val="00E81440"/>
    <w:rsid w:val="00E83453"/>
    <w:rsid w:val="00E90F91"/>
    <w:rsid w:val="00E93A92"/>
    <w:rsid w:val="00E94876"/>
    <w:rsid w:val="00E97C89"/>
    <w:rsid w:val="00EA0D8B"/>
    <w:rsid w:val="00EA669C"/>
    <w:rsid w:val="00EC0338"/>
    <w:rsid w:val="00EC1EE1"/>
    <w:rsid w:val="00ED2F1F"/>
    <w:rsid w:val="00ED30A0"/>
    <w:rsid w:val="00ED38B3"/>
    <w:rsid w:val="00EE52C7"/>
    <w:rsid w:val="00EF3B1D"/>
    <w:rsid w:val="00F03C85"/>
    <w:rsid w:val="00F11DA2"/>
    <w:rsid w:val="00F20E3A"/>
    <w:rsid w:val="00F211FC"/>
    <w:rsid w:val="00F30279"/>
    <w:rsid w:val="00F33D1C"/>
    <w:rsid w:val="00F35EF1"/>
    <w:rsid w:val="00F37478"/>
    <w:rsid w:val="00F437B5"/>
    <w:rsid w:val="00F46177"/>
    <w:rsid w:val="00F53E8A"/>
    <w:rsid w:val="00F5449B"/>
    <w:rsid w:val="00F60A11"/>
    <w:rsid w:val="00F76115"/>
    <w:rsid w:val="00F777CE"/>
    <w:rsid w:val="00F8042C"/>
    <w:rsid w:val="00F82E11"/>
    <w:rsid w:val="00F95335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D6504"/>
    <w:rsid w:val="00FE4CDC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6B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9830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30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30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0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3048"/>
    <w:rPr>
      <w:b/>
      <w:bCs/>
      <w:sz w:val="20"/>
      <w:szCs w:val="20"/>
    </w:rPr>
  </w:style>
  <w:style w:type="paragraph" w:customStyle="1" w:styleId="af3">
    <w:name w:val="Нормальный (таблица)"/>
    <w:basedOn w:val="a"/>
    <w:next w:val="a"/>
    <w:link w:val="af4"/>
    <w:uiPriority w:val="99"/>
    <w:qFormat/>
    <w:rsid w:val="004432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af4">
    <w:name w:val="Нормальный (таблица) Знак"/>
    <w:basedOn w:val="a0"/>
    <w:link w:val="af3"/>
    <w:uiPriority w:val="99"/>
    <w:rsid w:val="0044328E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281D5-E65F-43D1-B697-2E15D451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1</Pages>
  <Words>4762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172</cp:revision>
  <cp:lastPrinted>2023-11-20T13:33:00Z</cp:lastPrinted>
  <dcterms:created xsi:type="dcterms:W3CDTF">2022-03-11T11:26:00Z</dcterms:created>
  <dcterms:modified xsi:type="dcterms:W3CDTF">2025-08-10T09:13:00Z</dcterms:modified>
</cp:coreProperties>
</file>