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25715C">
        <w:rPr>
          <w:sz w:val="22"/>
          <w:szCs w:val="22"/>
        </w:rPr>
        <w:t xml:space="preserve">1006 </w:t>
      </w:r>
      <w:r w:rsidR="00887EF7">
        <w:rPr>
          <w:sz w:val="22"/>
          <w:szCs w:val="22"/>
        </w:rPr>
        <w:t xml:space="preserve">р от </w:t>
      </w:r>
      <w:r w:rsidR="0025715C">
        <w:rPr>
          <w:sz w:val="22"/>
          <w:szCs w:val="22"/>
        </w:rPr>
        <w:t>16</w:t>
      </w:r>
      <w:r w:rsidR="00887EF7">
        <w:rPr>
          <w:sz w:val="22"/>
          <w:szCs w:val="22"/>
        </w:rPr>
        <w:t>.05.2025 г.</w:t>
      </w:r>
      <w:r w:rsidR="0025715C">
        <w:rPr>
          <w:sz w:val="22"/>
          <w:szCs w:val="22"/>
        </w:rPr>
        <w:t>, № 1005 р от 16.05.2025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25715C">
        <w:rPr>
          <w:sz w:val="22"/>
          <w:szCs w:val="22"/>
        </w:rPr>
        <w:t>21</w:t>
      </w:r>
      <w:r w:rsidR="007717CE">
        <w:rPr>
          <w:sz w:val="22"/>
          <w:szCs w:val="22"/>
        </w:rPr>
        <w:t xml:space="preserve"> мая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25715C">
        <w:rPr>
          <w:sz w:val="22"/>
          <w:szCs w:val="22"/>
        </w:rPr>
        <w:t>03 июня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25715C">
        <w:rPr>
          <w:sz w:val="22"/>
          <w:szCs w:val="22"/>
        </w:rPr>
        <w:t xml:space="preserve">04 июня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C95F4F">
        <w:rPr>
          <w:sz w:val="22"/>
          <w:szCs w:val="22"/>
        </w:rPr>
        <w:t>0</w:t>
      </w:r>
      <w:r w:rsidR="0025715C">
        <w:rPr>
          <w:sz w:val="22"/>
          <w:szCs w:val="22"/>
        </w:rPr>
        <w:t>5</w:t>
      </w:r>
      <w:r w:rsidR="00C95F4F">
        <w:rPr>
          <w:sz w:val="22"/>
          <w:szCs w:val="22"/>
        </w:rPr>
        <w:t xml:space="preserve"> июня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C95F4F" w:rsidP="0025715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DC5550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район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Килинчинский сельсовет, село Килинчи, улица </w:t>
            </w:r>
            <w:r w:rsidR="0025715C">
              <w:rPr>
                <w:color w:val="000000"/>
                <w:sz w:val="22"/>
                <w:szCs w:val="22"/>
                <w:shd w:val="clear" w:color="auto" w:fill="F8F9FA"/>
              </w:rPr>
              <w:t>Шоссейная 1-я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земельный участок </w:t>
            </w:r>
            <w:r w:rsidR="0025715C">
              <w:rPr>
                <w:color w:val="000000"/>
                <w:sz w:val="22"/>
                <w:szCs w:val="22"/>
                <w:shd w:val="clear" w:color="auto" w:fill="F8F9FA"/>
              </w:rPr>
              <w:t>1а</w:t>
            </w:r>
            <w:r w:rsidR="0093286B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индивидуально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жилищно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е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C95F4F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C95F4F">
              <w:rPr>
                <w:sz w:val="22"/>
                <w:szCs w:val="22"/>
              </w:rPr>
              <w:t>0802</w:t>
            </w:r>
            <w:r w:rsidR="0025715C">
              <w:rPr>
                <w:sz w:val="22"/>
                <w:szCs w:val="22"/>
              </w:rPr>
              <w:t>01</w:t>
            </w:r>
            <w:r w:rsidR="00E53624">
              <w:rPr>
                <w:sz w:val="22"/>
                <w:szCs w:val="22"/>
              </w:rPr>
              <w:t>:</w:t>
            </w:r>
            <w:r w:rsidR="0025715C">
              <w:rPr>
                <w:sz w:val="22"/>
                <w:szCs w:val="22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25715C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25715C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25715C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</w:tr>
      <w:tr w:rsidR="0025715C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BC5D48" w:rsidRDefault="0025715C" w:rsidP="0025715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 Приволжский, сельское поселение Килинчинский сельсовет, село Килинчи, улица Шоссейная 1-я, земельный участок 7а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BC5D48" w:rsidRDefault="0025715C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BC5D48" w:rsidRDefault="0025715C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080201:543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032228" w:rsidRDefault="0025715C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032228" w:rsidRDefault="0025715C" w:rsidP="0025715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C" w:rsidRPr="003B29E7" w:rsidRDefault="0025715C" w:rsidP="00257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Pr="00B45B74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C95F4F">
        <w:rPr>
          <w:rFonts w:ascii="Times New Roman" w:hAnsi="Times New Roman" w:cs="Times New Roman"/>
        </w:rPr>
        <w:t xml:space="preserve">Килинчинский </w:t>
      </w:r>
      <w:r w:rsidR="00A44AD7">
        <w:rPr>
          <w:rFonts w:ascii="Times New Roman" w:hAnsi="Times New Roman" w:cs="Times New Roman"/>
        </w:rPr>
        <w:t>сельсовет</w:t>
      </w:r>
      <w:r w:rsidR="00730DC1">
        <w:rPr>
          <w:rFonts w:ascii="Times New Roman" w:hAnsi="Times New Roman" w:cs="Times New Roman"/>
        </w:rPr>
        <w:t>»</w:t>
      </w:r>
      <w:r w:rsidR="002E7F09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B45B74" w:rsidRPr="00C95F4F" w:rsidRDefault="00B45B74" w:rsidP="00B45B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МО </w:t>
      </w:r>
      <w:r w:rsidR="00C95F4F" w:rsidRPr="00C95F4F">
        <w:rPr>
          <w:rFonts w:ascii="Times New Roman" w:eastAsia="Times New Roman" w:hAnsi="Times New Roman" w:cs="Times New Roman"/>
          <w:b/>
          <w:lang w:eastAsia="ar-SA"/>
        </w:rPr>
        <w:t xml:space="preserve">Килинчинский </w:t>
      </w:r>
      <w:r w:rsidR="007717CE" w:rsidRPr="00C95F4F">
        <w:rPr>
          <w:rFonts w:ascii="Times New Roman" w:eastAsia="Times New Roman" w:hAnsi="Times New Roman" w:cs="Times New Roman"/>
          <w:b/>
          <w:lang w:eastAsia="ar-SA"/>
        </w:rPr>
        <w:t>сельсовет</w:t>
      </w: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E52CBC" w:rsidRPr="00C95F4F" w:rsidRDefault="00E52CBC" w:rsidP="00E52C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C95F4F" w:rsidRPr="00C95F4F" w:rsidRDefault="00C95F4F" w:rsidP="00C95F4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C95F4F" w:rsidRPr="00C95F4F" w:rsidRDefault="00C95F4F" w:rsidP="00C95F4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lastRenderedPageBreak/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C95F4F" w:rsidRPr="00C95F4F" w:rsidRDefault="00C95F4F" w:rsidP="00C95F4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C95F4F" w:rsidRPr="00C95F4F" w:rsidRDefault="00C95F4F" w:rsidP="00C95F4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C95F4F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C95F4F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95F4F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-</w:t>
      </w:r>
      <w:r w:rsidRPr="00C95F4F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-</w:t>
      </w:r>
      <w:r w:rsidRPr="00C95F4F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95F4F" w:rsidRPr="00C95F4F" w:rsidRDefault="00C95F4F" w:rsidP="00C95F4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Calibri" w:hAnsi="Times New Roman" w:cs="Times New Roman"/>
          <w:lang w:eastAsia="en-US"/>
        </w:rPr>
        <w:t>-</w:t>
      </w:r>
      <w:r w:rsidRPr="00C95F4F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C95F4F" w:rsidRPr="00C95F4F" w:rsidRDefault="00C95F4F" w:rsidP="00C95F4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95F4F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25715C">
        <w:rPr>
          <w:rFonts w:ascii="Times New Roman" w:hAnsi="Times New Roman" w:cs="Times New Roman"/>
        </w:rPr>
        <w:t>1772</w:t>
      </w:r>
      <w:r w:rsidR="00C95F4F">
        <w:rPr>
          <w:rFonts w:ascii="Times New Roman" w:hAnsi="Times New Roman" w:cs="Times New Roman"/>
        </w:rPr>
        <w:t xml:space="preserve"> от </w:t>
      </w:r>
      <w:r w:rsidR="0025715C">
        <w:rPr>
          <w:rFonts w:ascii="Times New Roman" w:hAnsi="Times New Roman" w:cs="Times New Roman"/>
        </w:rPr>
        <w:t>25.04.2025</w:t>
      </w:r>
      <w:r w:rsidR="00C95F4F">
        <w:rPr>
          <w:rFonts w:ascii="Times New Roman" w:hAnsi="Times New Roman" w:cs="Times New Roman"/>
        </w:rPr>
        <w:t xml:space="preserve"> г.</w:t>
      </w:r>
      <w:r w:rsidR="00A44AD7">
        <w:rPr>
          <w:rFonts w:ascii="Times New Roman" w:hAnsi="Times New Roman" w:cs="Times New Roman"/>
        </w:rPr>
        <w:t>)</w:t>
      </w:r>
    </w:p>
    <w:p w:rsidR="00505D91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№1: АО Газпром газораспределение (№ ПВ-17/</w:t>
      </w:r>
      <w:r w:rsidR="0025715C">
        <w:rPr>
          <w:rFonts w:ascii="Times New Roman" w:hAnsi="Times New Roman" w:cs="Times New Roman"/>
        </w:rPr>
        <w:t>7833</w:t>
      </w:r>
      <w:r w:rsidRPr="00C95F4F">
        <w:rPr>
          <w:rFonts w:ascii="Times New Roman" w:hAnsi="Times New Roman" w:cs="Times New Roman"/>
        </w:rPr>
        <w:t xml:space="preserve"> от </w:t>
      </w:r>
      <w:r w:rsidR="0025715C">
        <w:rPr>
          <w:rFonts w:ascii="Times New Roman" w:hAnsi="Times New Roman" w:cs="Times New Roman"/>
        </w:rPr>
        <w:t>16.04</w:t>
      </w:r>
      <w:r w:rsidRPr="00C95F4F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8A31EC" w:rsidRPr="008A31EC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Килинчинский сельсовет, село Килинчи, улица Шоссейная 1-я, земельный участок 1а</w:t>
      </w:r>
      <w:r w:rsidRPr="00C95F4F">
        <w:rPr>
          <w:rFonts w:ascii="Times New Roman" w:hAnsi="Times New Roman" w:cs="Times New Roman"/>
        </w:rPr>
        <w:t>, с кадастровым номером 30:09:</w:t>
      </w:r>
      <w:r>
        <w:rPr>
          <w:rFonts w:ascii="Times New Roman" w:hAnsi="Times New Roman" w:cs="Times New Roman"/>
        </w:rPr>
        <w:t>080219</w:t>
      </w:r>
      <w:r w:rsidRPr="00C95F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</w:t>
      </w:r>
      <w:r w:rsidR="00505D91">
        <w:rPr>
          <w:rFonts w:ascii="Times New Roman" w:hAnsi="Times New Roman" w:cs="Times New Roman"/>
        </w:rPr>
        <w:t>42</w:t>
      </w:r>
      <w:r w:rsidRPr="00C95F4F">
        <w:rPr>
          <w:rFonts w:ascii="Times New Roman" w:hAnsi="Times New Roman" w:cs="Times New Roman"/>
        </w:rPr>
        <w:t xml:space="preserve"> </w:t>
      </w:r>
      <w:r w:rsidR="008A31EC">
        <w:rPr>
          <w:rFonts w:ascii="Times New Roman" w:hAnsi="Times New Roman" w:cs="Times New Roman"/>
        </w:rPr>
        <w:t>возможно к газопроводам, запитанным от ГРС Началово-А, выходы 2 и 3. Согласно данным, приведенным на общедоступном ресурсе ООО «Газпром трансгаз Ставрополь» (</w:t>
      </w:r>
      <w:r w:rsidR="008A31EC">
        <w:rPr>
          <w:rFonts w:ascii="Times New Roman" w:hAnsi="Times New Roman" w:cs="Times New Roman"/>
          <w:lang w:val="en-US"/>
        </w:rPr>
        <w:t>Stavropol</w:t>
      </w:r>
      <w:r w:rsidR="008A31EC" w:rsidRPr="008A31EC">
        <w:rPr>
          <w:rFonts w:ascii="Times New Roman" w:hAnsi="Times New Roman" w:cs="Times New Roman"/>
        </w:rPr>
        <w:t>-</w:t>
      </w:r>
      <w:proofErr w:type="spellStart"/>
      <w:r w:rsidR="008A31EC">
        <w:rPr>
          <w:rFonts w:ascii="Times New Roman" w:hAnsi="Times New Roman" w:cs="Times New Roman"/>
          <w:lang w:val="en-US"/>
        </w:rPr>
        <w:t>tr</w:t>
      </w:r>
      <w:proofErr w:type="spellEnd"/>
      <w:r w:rsidR="008A31EC" w:rsidRPr="008A31EC">
        <w:rPr>
          <w:rFonts w:ascii="Times New Roman" w:hAnsi="Times New Roman" w:cs="Times New Roman"/>
        </w:rPr>
        <w:t>.</w:t>
      </w:r>
      <w:r w:rsidR="008A31EC">
        <w:rPr>
          <w:rFonts w:ascii="Times New Roman" w:hAnsi="Times New Roman" w:cs="Times New Roman"/>
          <w:lang w:val="en-US"/>
        </w:rPr>
        <w:t>gazprom</w:t>
      </w:r>
      <w:r w:rsidR="008A31EC" w:rsidRPr="008A31EC">
        <w:rPr>
          <w:rFonts w:ascii="Times New Roman" w:hAnsi="Times New Roman" w:cs="Times New Roman"/>
        </w:rPr>
        <w:t>.</w:t>
      </w:r>
      <w:proofErr w:type="spellStart"/>
      <w:r w:rsidR="008A31EC">
        <w:rPr>
          <w:rFonts w:ascii="Times New Roman" w:hAnsi="Times New Roman" w:cs="Times New Roman"/>
          <w:lang w:val="en-US"/>
        </w:rPr>
        <w:t>ru</w:t>
      </w:r>
      <w:proofErr w:type="spellEnd"/>
      <w:r w:rsidR="008A31EC" w:rsidRPr="008A31EC">
        <w:rPr>
          <w:rFonts w:ascii="Times New Roman" w:hAnsi="Times New Roman" w:cs="Times New Roman"/>
        </w:rPr>
        <w:t>/</w:t>
      </w:r>
      <w:r w:rsidR="008A31EC">
        <w:rPr>
          <w:rFonts w:ascii="Times New Roman" w:hAnsi="Times New Roman" w:cs="Times New Roman"/>
          <w:lang w:val="en-US"/>
        </w:rPr>
        <w:t>about</w:t>
      </w:r>
      <w:r w:rsidR="008A31EC" w:rsidRPr="008A31EC">
        <w:rPr>
          <w:rFonts w:ascii="Times New Roman" w:hAnsi="Times New Roman" w:cs="Times New Roman"/>
        </w:rPr>
        <w:t>/</w:t>
      </w:r>
      <w:r w:rsidR="008A31EC">
        <w:rPr>
          <w:rFonts w:ascii="Times New Roman" w:hAnsi="Times New Roman" w:cs="Times New Roman"/>
          <w:lang w:val="en-US"/>
        </w:rPr>
        <w:t>raskry</w:t>
      </w:r>
      <w:proofErr w:type="spellStart"/>
      <w:r w:rsidR="008A31EC">
        <w:rPr>
          <w:rFonts w:ascii="Times New Roman" w:hAnsi="Times New Roman" w:cs="Times New Roman"/>
        </w:rPr>
        <w:t>ешу</w:t>
      </w:r>
      <w:proofErr w:type="spellEnd"/>
      <w:r w:rsidR="008A31EC">
        <w:rPr>
          <w:rFonts w:ascii="Times New Roman" w:hAnsi="Times New Roman" w:cs="Times New Roman"/>
        </w:rPr>
        <w:t>-</w:t>
      </w:r>
      <w:proofErr w:type="spellStart"/>
      <w:r w:rsidR="008A31EC">
        <w:rPr>
          <w:rFonts w:ascii="Times New Roman" w:hAnsi="Times New Roman" w:cs="Times New Roman"/>
          <w:lang w:val="en-US"/>
        </w:rPr>
        <w:t>informatsii</w:t>
      </w:r>
      <w:proofErr w:type="spellEnd"/>
      <w:r w:rsidR="008A31EC">
        <w:rPr>
          <w:rFonts w:ascii="Times New Roman" w:hAnsi="Times New Roman" w:cs="Times New Roman"/>
        </w:rPr>
        <w:t xml:space="preserve">), наличие (дефицит) пропускной способности </w:t>
      </w:r>
      <w:r w:rsidR="00505D91">
        <w:rPr>
          <w:rFonts w:ascii="Times New Roman" w:hAnsi="Times New Roman" w:cs="Times New Roman"/>
        </w:rPr>
        <w:t xml:space="preserve">ГРС Началово-1А,  каждому выходу на текущую дату составляет по 82,01 </w:t>
      </w:r>
      <w:proofErr w:type="spellStart"/>
      <w:r w:rsidR="00505D91">
        <w:rPr>
          <w:rFonts w:ascii="Times New Roman" w:hAnsi="Times New Roman" w:cs="Times New Roman"/>
        </w:rPr>
        <w:t>тыс.куб</w:t>
      </w:r>
      <w:proofErr w:type="spellEnd"/>
      <w:r w:rsidR="00505D91">
        <w:rPr>
          <w:rFonts w:ascii="Times New Roman" w:hAnsi="Times New Roman" w:cs="Times New Roman"/>
        </w:rPr>
        <w:t>. в час.</w:t>
      </w:r>
    </w:p>
    <w:p w:rsidR="00C95F4F" w:rsidRPr="008A31EC" w:rsidRDefault="00505D91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5D91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>2</w:t>
      </w:r>
      <w:r w:rsidRPr="00505D91">
        <w:rPr>
          <w:rFonts w:ascii="Times New Roman" w:hAnsi="Times New Roman" w:cs="Times New Roman"/>
        </w:rPr>
        <w:t xml:space="preserve">: АО Газпром газораспределение (№ ПВ-17/7833 от 16.04.2025г.)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Килинчинский сельсовет, село Килинчи, улица Шоссейная 1-я, земельный участок </w:t>
      </w:r>
      <w:r>
        <w:rPr>
          <w:rFonts w:ascii="Times New Roman" w:hAnsi="Times New Roman" w:cs="Times New Roman"/>
        </w:rPr>
        <w:t>7</w:t>
      </w:r>
      <w:bookmarkStart w:id="0" w:name="_GoBack"/>
      <w:bookmarkEnd w:id="0"/>
      <w:r w:rsidRPr="00505D91">
        <w:rPr>
          <w:rFonts w:ascii="Times New Roman" w:hAnsi="Times New Roman" w:cs="Times New Roman"/>
        </w:rPr>
        <w:t>а, с кад</w:t>
      </w:r>
      <w:r>
        <w:rPr>
          <w:rFonts w:ascii="Times New Roman" w:hAnsi="Times New Roman" w:cs="Times New Roman"/>
        </w:rPr>
        <w:t>астровым номером 30:09:080219:54</w:t>
      </w:r>
      <w:r w:rsidRPr="00505D91">
        <w:rPr>
          <w:rFonts w:ascii="Times New Roman" w:hAnsi="Times New Roman" w:cs="Times New Roman"/>
        </w:rPr>
        <w:t>3 возможно к газопроводам, запитанным от ГРС Началово-</w:t>
      </w:r>
      <w:r w:rsidRPr="00505D91">
        <w:rPr>
          <w:rFonts w:ascii="Times New Roman" w:hAnsi="Times New Roman" w:cs="Times New Roman"/>
        </w:rPr>
        <w:lastRenderedPageBreak/>
        <w:t>А, выходы 2 и 3. Согласно данным, приведенным на общедоступном ресурсе ООО «Газпром трансгаз Ставрополь» (Stavropol-tr.gazprom.ru/</w:t>
      </w:r>
      <w:proofErr w:type="spellStart"/>
      <w:r w:rsidRPr="00505D91">
        <w:rPr>
          <w:rFonts w:ascii="Times New Roman" w:hAnsi="Times New Roman" w:cs="Times New Roman"/>
        </w:rPr>
        <w:t>about</w:t>
      </w:r>
      <w:proofErr w:type="spellEnd"/>
      <w:r w:rsidRPr="00505D91">
        <w:rPr>
          <w:rFonts w:ascii="Times New Roman" w:hAnsi="Times New Roman" w:cs="Times New Roman"/>
        </w:rPr>
        <w:t>/</w:t>
      </w:r>
      <w:proofErr w:type="spellStart"/>
      <w:r w:rsidRPr="00505D91">
        <w:rPr>
          <w:rFonts w:ascii="Times New Roman" w:hAnsi="Times New Roman" w:cs="Times New Roman"/>
        </w:rPr>
        <w:t>raskryешу-informatsii</w:t>
      </w:r>
      <w:proofErr w:type="spellEnd"/>
      <w:r w:rsidRPr="00505D91">
        <w:rPr>
          <w:rFonts w:ascii="Times New Roman" w:hAnsi="Times New Roman" w:cs="Times New Roman"/>
        </w:rPr>
        <w:t xml:space="preserve">), наличие (дефицит) пропускной способности ГРС Началово-1А,  каждому выходу на текущую дату составляет по 82,01 </w:t>
      </w:r>
      <w:proofErr w:type="spellStart"/>
      <w:r w:rsidRPr="00505D91">
        <w:rPr>
          <w:rFonts w:ascii="Times New Roman" w:hAnsi="Times New Roman" w:cs="Times New Roman"/>
        </w:rPr>
        <w:t>тыс.куб</w:t>
      </w:r>
      <w:proofErr w:type="spellEnd"/>
      <w:r w:rsidRPr="00505D91">
        <w:rPr>
          <w:rFonts w:ascii="Times New Roman" w:hAnsi="Times New Roman" w:cs="Times New Roman"/>
        </w:rPr>
        <w:t xml:space="preserve">. в час </w:t>
      </w:r>
      <w:r>
        <w:rPr>
          <w:rFonts w:ascii="Times New Roman" w:hAnsi="Times New Roman" w:cs="Times New Roman"/>
        </w:rPr>
        <w:t xml:space="preserve"> </w:t>
      </w:r>
    </w:p>
    <w:p w:rsidR="001C688A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05D91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 xml:space="preserve"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</w:t>
      </w:r>
      <w:r w:rsidRPr="00BC5D48">
        <w:rPr>
          <w:rFonts w:ascii="Times New Roman" w:hAnsi="Times New Roman" w:cs="Times New Roman"/>
        </w:rPr>
        <w:lastRenderedPageBreak/>
        <w:t>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27B"/>
    <w:rsid w:val="00076FA2"/>
    <w:rsid w:val="00077E2D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DAE"/>
    <w:rsid w:val="001D71BC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5903"/>
    <w:rsid w:val="0025680B"/>
    <w:rsid w:val="0025715C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5003C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73224"/>
    <w:rsid w:val="00576366"/>
    <w:rsid w:val="005826F1"/>
    <w:rsid w:val="00583FA1"/>
    <w:rsid w:val="00593163"/>
    <w:rsid w:val="00594C91"/>
    <w:rsid w:val="005A2C41"/>
    <w:rsid w:val="005A2E0C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276B"/>
    <w:rsid w:val="00CE2A0A"/>
    <w:rsid w:val="00CE503E"/>
    <w:rsid w:val="00CF341B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DBC1-2581-4F2B-9F55-85C32143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7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159</cp:revision>
  <cp:lastPrinted>2023-11-20T13:33:00Z</cp:lastPrinted>
  <dcterms:created xsi:type="dcterms:W3CDTF">2022-03-11T11:26:00Z</dcterms:created>
  <dcterms:modified xsi:type="dcterms:W3CDTF">2025-05-20T10:59:00Z</dcterms:modified>
</cp:coreProperties>
</file>