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</w:t>
      </w:r>
      <w:r w:rsidR="00782366">
        <w:rPr>
          <w:sz w:val="22"/>
          <w:szCs w:val="22"/>
        </w:rPr>
        <w:t xml:space="preserve">№ </w:t>
      </w:r>
      <w:r w:rsidR="00BC5255">
        <w:rPr>
          <w:sz w:val="22"/>
          <w:szCs w:val="22"/>
        </w:rPr>
        <w:t>369 р от 21.02.2025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0A625B">
        <w:rPr>
          <w:sz w:val="22"/>
          <w:szCs w:val="22"/>
        </w:rPr>
        <w:t>2</w:t>
      </w:r>
      <w:r w:rsidR="002A5403">
        <w:rPr>
          <w:sz w:val="22"/>
          <w:szCs w:val="22"/>
        </w:rPr>
        <w:t>6</w:t>
      </w:r>
      <w:r w:rsidR="000A625B">
        <w:rPr>
          <w:sz w:val="22"/>
          <w:szCs w:val="22"/>
        </w:rPr>
        <w:t xml:space="preserve"> февраля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0A625B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0A625B">
        <w:rPr>
          <w:sz w:val="22"/>
          <w:szCs w:val="22"/>
        </w:rPr>
        <w:t>2</w:t>
      </w:r>
      <w:r w:rsidR="002A5403">
        <w:rPr>
          <w:sz w:val="22"/>
          <w:szCs w:val="22"/>
        </w:rPr>
        <w:t>7</w:t>
      </w:r>
      <w:r w:rsidR="000A625B">
        <w:rPr>
          <w:sz w:val="22"/>
          <w:szCs w:val="22"/>
        </w:rPr>
        <w:t xml:space="preserve"> марта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1013A6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F444C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2A5403">
        <w:rPr>
          <w:sz w:val="22"/>
          <w:szCs w:val="22"/>
        </w:rPr>
        <w:t>28</w:t>
      </w:r>
      <w:r w:rsidR="000A625B">
        <w:rPr>
          <w:sz w:val="22"/>
          <w:szCs w:val="22"/>
        </w:rPr>
        <w:t xml:space="preserve"> марта</w:t>
      </w:r>
      <w:r w:rsidR="00C3551F" w:rsidRPr="00BC5D48">
        <w:rPr>
          <w:sz w:val="22"/>
          <w:szCs w:val="22"/>
        </w:rPr>
        <w:t xml:space="preserve"> 202</w:t>
      </w:r>
      <w:r w:rsidR="001013A6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2A5403">
        <w:rPr>
          <w:sz w:val="22"/>
          <w:szCs w:val="22"/>
        </w:rPr>
        <w:t>31</w:t>
      </w:r>
      <w:r w:rsidR="000A625B">
        <w:rPr>
          <w:sz w:val="22"/>
          <w:szCs w:val="22"/>
        </w:rPr>
        <w:t xml:space="preserve"> марта</w:t>
      </w:r>
      <w:r w:rsidR="00607D23">
        <w:rPr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>202</w:t>
      </w:r>
      <w:r w:rsidR="001013A6">
        <w:rPr>
          <w:color w:val="FF0000"/>
          <w:sz w:val="22"/>
          <w:szCs w:val="22"/>
        </w:rPr>
        <w:t>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243C3C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FF6349">
        <w:trPr>
          <w:trHeight w:val="5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782366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BC5D48" w:rsidRDefault="001013A6" w:rsidP="002A5403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bookmarkStart w:id="0" w:name="_GoBack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="00782366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2A5403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2A5403" w:rsidRPr="00BC5D48">
              <w:rPr>
                <w:color w:val="000000"/>
                <w:sz w:val="22"/>
                <w:szCs w:val="22"/>
                <w:shd w:val="clear" w:color="auto" w:fill="F8F9FA"/>
              </w:rPr>
              <w:t>муниципальный район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 w:rsidR="00243C3C">
              <w:rPr>
                <w:color w:val="000000"/>
                <w:sz w:val="22"/>
                <w:szCs w:val="22"/>
                <w:shd w:val="clear" w:color="auto" w:fill="F8F9FA"/>
              </w:rPr>
              <w:t>Началовский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сельсовет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BC5255">
              <w:rPr>
                <w:color w:val="000000"/>
                <w:sz w:val="22"/>
                <w:szCs w:val="22"/>
                <w:shd w:val="clear" w:color="auto" w:fill="F8F9FA"/>
              </w:rPr>
              <w:t>пос. Новоначаловский, ул. Дачная, з/у 23А/1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bookmarkEnd w:id="0"/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BC5255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782366" w:rsidP="00BC525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BC5255">
              <w:rPr>
                <w:sz w:val="22"/>
                <w:szCs w:val="22"/>
              </w:rPr>
              <w:t>050502</w:t>
            </w:r>
            <w:r>
              <w:rPr>
                <w:sz w:val="22"/>
                <w:szCs w:val="22"/>
              </w:rPr>
              <w:t>:</w:t>
            </w:r>
            <w:r w:rsidR="00BC5255">
              <w:rPr>
                <w:sz w:val="22"/>
                <w:szCs w:val="22"/>
              </w:rPr>
              <w:t>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2A5403" w:rsidP="00A20A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2A5403" w:rsidP="000A625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2A5403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</w:tbl>
    <w:p w:rsidR="00B036A8" w:rsidRPr="00F444C3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607D23" w:rsidRDefault="00E83453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66723A" w:rsidRPr="0066723A"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 w:rsidR="0066723A">
        <w:rPr>
          <w:rFonts w:ascii="Times New Roman" w:hAnsi="Times New Roman" w:cs="Times New Roman"/>
          <w:b/>
        </w:rPr>
        <w:t>пять</w:t>
      </w:r>
      <w:r w:rsidRPr="00BC5D48">
        <w:rPr>
          <w:rFonts w:ascii="Times New Roman" w:hAnsi="Times New Roman" w:cs="Times New Roman"/>
          <w:b/>
        </w:rPr>
        <w:t>) лет.</w:t>
      </w:r>
    </w:p>
    <w:p w:rsid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1</w:t>
      </w:r>
      <w:r w:rsidRPr="000A625B">
        <w:rPr>
          <w:rFonts w:ascii="Times New Roman" w:hAnsi="Times New Roman" w:cs="Times New Roman"/>
          <w:b/>
        </w:rPr>
        <w:t xml:space="preserve"> - </w:t>
      </w:r>
      <w:proofErr w:type="spellStart"/>
      <w:r w:rsidRPr="000A625B">
        <w:rPr>
          <w:rFonts w:ascii="Times New Roman" w:hAnsi="Times New Roman" w:cs="Times New Roman"/>
          <w:b/>
        </w:rPr>
        <w:t>ЗОУИТы</w:t>
      </w:r>
      <w:proofErr w:type="spellEnd"/>
      <w:r w:rsidRPr="000A625B">
        <w:rPr>
          <w:rFonts w:ascii="Times New Roman" w:hAnsi="Times New Roman" w:cs="Times New Roman"/>
          <w:b/>
        </w:rPr>
        <w:t>:</w:t>
      </w:r>
    </w:p>
    <w:p w:rsidR="002A5403" w:rsidRPr="000A625B" w:rsidRDefault="002A5403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A5403">
        <w:rPr>
          <w:rFonts w:ascii="Times New Roman" w:hAnsi="Times New Roman" w:cs="Times New Roman"/>
          <w:b/>
        </w:rPr>
        <w:t>30:09-6.692</w:t>
      </w:r>
      <w:r>
        <w:rPr>
          <w:rFonts w:ascii="Times New Roman" w:hAnsi="Times New Roman" w:cs="Times New Roman"/>
          <w:b/>
        </w:rPr>
        <w:t xml:space="preserve"> </w:t>
      </w:r>
      <w:r w:rsidRPr="002A5403">
        <w:rPr>
          <w:rFonts w:ascii="Times New Roman" w:hAnsi="Times New Roman" w:cs="Times New Roman"/>
          <w:b/>
        </w:rPr>
        <w:t>Зона публичного сервитута для размещения объекта ЛЭП-10кв РП 21 - КТП 618 ф.4 ПС ЦРП; ЛЭП-0,4кВт от КТП 618 ф.4 ПС ЦРП</w:t>
      </w:r>
      <w:r>
        <w:rPr>
          <w:rFonts w:ascii="Times New Roman" w:hAnsi="Times New Roman" w:cs="Times New Roman"/>
          <w:b/>
        </w:rPr>
        <w:t>;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 xml:space="preserve">30:00-6.406 Четвертая </w:t>
      </w:r>
      <w:proofErr w:type="spellStart"/>
      <w:r w:rsidRPr="000A625B">
        <w:rPr>
          <w:rFonts w:ascii="Times New Roman" w:hAnsi="Times New Roman" w:cs="Times New Roman"/>
          <w:b/>
        </w:rPr>
        <w:t>подзона</w:t>
      </w:r>
      <w:proofErr w:type="spellEnd"/>
      <w:r w:rsidRPr="000A625B">
        <w:rPr>
          <w:rFonts w:ascii="Times New Roman" w:hAnsi="Times New Roman" w:cs="Times New Roman"/>
          <w:b/>
        </w:rPr>
        <w:t xml:space="preserve"> </w:t>
      </w:r>
      <w:proofErr w:type="spellStart"/>
      <w:r w:rsidRPr="000A625B">
        <w:rPr>
          <w:rFonts w:ascii="Times New Roman" w:hAnsi="Times New Roman" w:cs="Times New Roman"/>
          <w:b/>
        </w:rPr>
        <w:t>приаэродромной</w:t>
      </w:r>
      <w:proofErr w:type="spellEnd"/>
      <w:r w:rsidRPr="000A625B">
        <w:rPr>
          <w:rFonts w:ascii="Times New Roman" w:hAnsi="Times New Roman" w:cs="Times New Roman"/>
          <w:b/>
        </w:rPr>
        <w:t xml:space="preserve"> территории аэродрома гражданской авиации Астрахань (</w:t>
      </w:r>
      <w:proofErr w:type="spellStart"/>
      <w:r w:rsidRPr="000A625B">
        <w:rPr>
          <w:rFonts w:ascii="Times New Roman" w:hAnsi="Times New Roman" w:cs="Times New Roman"/>
          <w:b/>
        </w:rPr>
        <w:t>Нариманово</w:t>
      </w:r>
      <w:proofErr w:type="spellEnd"/>
      <w:r w:rsidRPr="000A625B">
        <w:rPr>
          <w:rFonts w:ascii="Times New Roman" w:hAnsi="Times New Roman" w:cs="Times New Roman"/>
          <w:b/>
        </w:rPr>
        <w:t xml:space="preserve">); 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 xml:space="preserve">30:00-6.408 Третья </w:t>
      </w:r>
      <w:proofErr w:type="spellStart"/>
      <w:r w:rsidRPr="000A625B">
        <w:rPr>
          <w:rFonts w:ascii="Times New Roman" w:hAnsi="Times New Roman" w:cs="Times New Roman"/>
          <w:b/>
        </w:rPr>
        <w:t>подзона</w:t>
      </w:r>
      <w:proofErr w:type="spellEnd"/>
      <w:r w:rsidRPr="000A625B">
        <w:rPr>
          <w:rFonts w:ascii="Times New Roman" w:hAnsi="Times New Roman" w:cs="Times New Roman"/>
          <w:b/>
        </w:rPr>
        <w:t xml:space="preserve"> </w:t>
      </w:r>
      <w:proofErr w:type="spellStart"/>
      <w:r w:rsidRPr="000A625B">
        <w:rPr>
          <w:rFonts w:ascii="Times New Roman" w:hAnsi="Times New Roman" w:cs="Times New Roman"/>
          <w:b/>
        </w:rPr>
        <w:t>приаэродромной</w:t>
      </w:r>
      <w:proofErr w:type="spellEnd"/>
      <w:r w:rsidRPr="000A625B">
        <w:rPr>
          <w:rFonts w:ascii="Times New Roman" w:hAnsi="Times New Roman" w:cs="Times New Roman"/>
          <w:b/>
        </w:rPr>
        <w:t xml:space="preserve"> территории аэродрома гражданской авиации Астрахань (</w:t>
      </w:r>
      <w:proofErr w:type="spellStart"/>
      <w:r w:rsidRPr="000A625B">
        <w:rPr>
          <w:rFonts w:ascii="Times New Roman" w:hAnsi="Times New Roman" w:cs="Times New Roman"/>
          <w:b/>
        </w:rPr>
        <w:t>Нариманово</w:t>
      </w:r>
      <w:proofErr w:type="spellEnd"/>
      <w:r w:rsidRPr="000A625B">
        <w:rPr>
          <w:rFonts w:ascii="Times New Roman" w:hAnsi="Times New Roman" w:cs="Times New Roman"/>
          <w:b/>
        </w:rPr>
        <w:t>);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 xml:space="preserve">30:00-6.409 </w:t>
      </w:r>
      <w:proofErr w:type="spellStart"/>
      <w:r w:rsidRPr="000A625B">
        <w:rPr>
          <w:rFonts w:ascii="Times New Roman" w:hAnsi="Times New Roman" w:cs="Times New Roman"/>
          <w:b/>
        </w:rPr>
        <w:t>Приаэродромная</w:t>
      </w:r>
      <w:proofErr w:type="spellEnd"/>
      <w:r w:rsidRPr="000A625B">
        <w:rPr>
          <w:rFonts w:ascii="Times New Roman" w:hAnsi="Times New Roman" w:cs="Times New Roman"/>
          <w:b/>
        </w:rPr>
        <w:t xml:space="preserve"> территория аэродрома гражданской авиации Астрахань (</w:t>
      </w:r>
      <w:proofErr w:type="spellStart"/>
      <w:r w:rsidRPr="000A625B">
        <w:rPr>
          <w:rFonts w:ascii="Times New Roman" w:hAnsi="Times New Roman" w:cs="Times New Roman"/>
          <w:b/>
        </w:rPr>
        <w:t>Нариманово</w:t>
      </w:r>
      <w:proofErr w:type="spellEnd"/>
      <w:r w:rsidRPr="000A625B">
        <w:rPr>
          <w:rFonts w:ascii="Times New Roman" w:hAnsi="Times New Roman" w:cs="Times New Roman"/>
          <w:b/>
        </w:rPr>
        <w:t>);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 xml:space="preserve">30:00-6.410 </w:t>
      </w:r>
      <w:proofErr w:type="spellStart"/>
      <w:r w:rsidRPr="000A625B">
        <w:rPr>
          <w:rFonts w:ascii="Times New Roman" w:hAnsi="Times New Roman" w:cs="Times New Roman"/>
          <w:b/>
        </w:rPr>
        <w:t>Приаэродромная</w:t>
      </w:r>
      <w:proofErr w:type="spellEnd"/>
      <w:r w:rsidRPr="000A625B">
        <w:rPr>
          <w:rFonts w:ascii="Times New Roman" w:hAnsi="Times New Roman" w:cs="Times New Roman"/>
          <w:b/>
        </w:rPr>
        <w:t xml:space="preserve"> территория аэродрома гражданской авиации Астрахань (</w:t>
      </w:r>
      <w:proofErr w:type="spellStart"/>
      <w:r w:rsidRPr="000A625B">
        <w:rPr>
          <w:rFonts w:ascii="Times New Roman" w:hAnsi="Times New Roman" w:cs="Times New Roman"/>
          <w:b/>
        </w:rPr>
        <w:t>Нариманово</w:t>
      </w:r>
      <w:proofErr w:type="spellEnd"/>
      <w:r w:rsidRPr="000A625B">
        <w:rPr>
          <w:rFonts w:ascii="Times New Roman" w:hAnsi="Times New Roman" w:cs="Times New Roman"/>
          <w:b/>
        </w:rPr>
        <w:t>);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 xml:space="preserve">30:00-6.411 Шестая </w:t>
      </w:r>
      <w:proofErr w:type="spellStart"/>
      <w:r w:rsidRPr="000A625B">
        <w:rPr>
          <w:rFonts w:ascii="Times New Roman" w:hAnsi="Times New Roman" w:cs="Times New Roman"/>
          <w:b/>
        </w:rPr>
        <w:t>подзона</w:t>
      </w:r>
      <w:proofErr w:type="spellEnd"/>
      <w:r w:rsidRPr="000A625B">
        <w:rPr>
          <w:rFonts w:ascii="Times New Roman" w:hAnsi="Times New Roman" w:cs="Times New Roman"/>
          <w:b/>
        </w:rPr>
        <w:t xml:space="preserve"> </w:t>
      </w:r>
      <w:proofErr w:type="spellStart"/>
      <w:r w:rsidRPr="000A625B">
        <w:rPr>
          <w:rFonts w:ascii="Times New Roman" w:hAnsi="Times New Roman" w:cs="Times New Roman"/>
          <w:b/>
        </w:rPr>
        <w:t>приаэродромной</w:t>
      </w:r>
      <w:proofErr w:type="spellEnd"/>
      <w:r w:rsidRPr="000A625B">
        <w:rPr>
          <w:rFonts w:ascii="Times New Roman" w:hAnsi="Times New Roman" w:cs="Times New Roman"/>
          <w:b/>
        </w:rPr>
        <w:t xml:space="preserve"> территории аэродрома гражданской авиации Астрахань (</w:t>
      </w:r>
      <w:proofErr w:type="spellStart"/>
      <w:r w:rsidRPr="000A625B">
        <w:rPr>
          <w:rFonts w:ascii="Times New Roman" w:hAnsi="Times New Roman" w:cs="Times New Roman"/>
          <w:b/>
        </w:rPr>
        <w:t>Нариманово</w:t>
      </w:r>
      <w:proofErr w:type="spellEnd"/>
      <w:r w:rsidRPr="000A625B">
        <w:rPr>
          <w:rFonts w:ascii="Times New Roman" w:hAnsi="Times New Roman" w:cs="Times New Roman"/>
          <w:b/>
        </w:rPr>
        <w:t>);</w:t>
      </w:r>
    </w:p>
    <w:p w:rsidR="000A625B" w:rsidRDefault="000A625B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 xml:space="preserve">30:00-6.412 Пятая </w:t>
      </w:r>
      <w:proofErr w:type="spellStart"/>
      <w:r w:rsidRPr="000A625B">
        <w:rPr>
          <w:rFonts w:ascii="Times New Roman" w:hAnsi="Times New Roman" w:cs="Times New Roman"/>
          <w:b/>
        </w:rPr>
        <w:t>подзона</w:t>
      </w:r>
      <w:proofErr w:type="spellEnd"/>
      <w:r w:rsidRPr="000A625B">
        <w:rPr>
          <w:rFonts w:ascii="Times New Roman" w:hAnsi="Times New Roman" w:cs="Times New Roman"/>
          <w:b/>
        </w:rPr>
        <w:t xml:space="preserve"> </w:t>
      </w:r>
      <w:proofErr w:type="spellStart"/>
      <w:r w:rsidRPr="000A625B">
        <w:rPr>
          <w:rFonts w:ascii="Times New Roman" w:hAnsi="Times New Roman" w:cs="Times New Roman"/>
          <w:b/>
        </w:rPr>
        <w:t>приаэродромной</w:t>
      </w:r>
      <w:proofErr w:type="spellEnd"/>
      <w:r w:rsidRPr="000A625B">
        <w:rPr>
          <w:rFonts w:ascii="Times New Roman" w:hAnsi="Times New Roman" w:cs="Times New Roman"/>
          <w:b/>
        </w:rPr>
        <w:t xml:space="preserve"> территории аэродрома гражданской авиации Астрахань (</w:t>
      </w:r>
      <w:proofErr w:type="spellStart"/>
      <w:r w:rsidRPr="000A625B">
        <w:rPr>
          <w:rFonts w:ascii="Times New Roman" w:hAnsi="Times New Roman" w:cs="Times New Roman"/>
          <w:b/>
        </w:rPr>
        <w:t>Нариманово</w:t>
      </w:r>
      <w:proofErr w:type="spellEnd"/>
      <w:r w:rsidRPr="000A625B">
        <w:rPr>
          <w:rFonts w:ascii="Times New Roman" w:hAnsi="Times New Roman" w:cs="Times New Roman"/>
          <w:b/>
        </w:rPr>
        <w:t>).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66723A" w:rsidRPr="00E3099B" w:rsidRDefault="00104B09" w:rsidP="00E3099B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BC5D48" w:rsidRPr="00BC5D48">
        <w:rPr>
          <w:rFonts w:ascii="Times New Roman" w:hAnsi="Times New Roman" w:cs="Times New Roman"/>
        </w:rPr>
        <w:t>МО «</w:t>
      </w:r>
      <w:r w:rsidR="00243C3C">
        <w:rPr>
          <w:rFonts w:ascii="Times New Roman" w:hAnsi="Times New Roman" w:cs="Times New Roman"/>
        </w:rPr>
        <w:t>Началовский</w:t>
      </w:r>
      <w:r w:rsidR="00FF6349">
        <w:rPr>
          <w:rFonts w:ascii="Times New Roman" w:hAnsi="Times New Roman" w:cs="Times New Roman"/>
        </w:rPr>
        <w:t xml:space="preserve"> </w:t>
      </w:r>
      <w:r w:rsidR="00FC0AB0">
        <w:rPr>
          <w:rFonts w:ascii="Times New Roman" w:hAnsi="Times New Roman" w:cs="Times New Roman"/>
        </w:rPr>
        <w:t>сельсовет»</w:t>
      </w:r>
      <w:r w:rsidR="00E309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lang w:eastAsia="en-US"/>
        </w:rPr>
      </w:pPr>
      <w:r w:rsidRPr="00A20A1B">
        <w:rPr>
          <w:rFonts w:ascii="Times New Roman" w:eastAsia="Calibri" w:hAnsi="Times New Roman" w:cs="Times New Roman"/>
          <w:b/>
          <w:iCs/>
          <w:lang w:eastAsia="en-US"/>
        </w:rPr>
        <w:t xml:space="preserve">Параметры застройки: </w:t>
      </w:r>
    </w:p>
    <w:p w:rsidR="00A20A1B" w:rsidRPr="00A20A1B" w:rsidRDefault="00A20A1B" w:rsidP="00A20A1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iCs/>
          <w:lang w:eastAsia="en-US"/>
        </w:rPr>
        <w:t xml:space="preserve">1. </w:t>
      </w:r>
      <w:r w:rsidRPr="00A20A1B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A20A1B" w:rsidRPr="00A20A1B" w:rsidRDefault="00A20A1B" w:rsidP="00A20A1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A20A1B" w:rsidRPr="00A20A1B" w:rsidRDefault="00A20A1B" w:rsidP="00A20A1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A20A1B" w:rsidRPr="00A20A1B" w:rsidRDefault="00A20A1B" w:rsidP="00A20A1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A20A1B" w:rsidRPr="00A20A1B" w:rsidRDefault="00A20A1B" w:rsidP="00A20A1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A20A1B" w:rsidRPr="00A20A1B" w:rsidRDefault="00A20A1B" w:rsidP="00A20A1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A20A1B" w:rsidRPr="00A20A1B" w:rsidRDefault="00A20A1B" w:rsidP="00A20A1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i/>
          <w:iCs/>
          <w:lang w:eastAsia="en-US"/>
        </w:rPr>
        <w:t>2. Пр</w:t>
      </w:r>
      <w:r w:rsidRPr="00A20A1B">
        <w:rPr>
          <w:rFonts w:ascii="Times New Roman" w:eastAsia="Times New Roman" w:hAnsi="Times New Roman" w:cs="Times New Roman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застройку, в том числе их площадь не подлежат установлению.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 xml:space="preserve">4. Предельное количество этажей – не более 3. 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lang w:eastAsia="en-US"/>
        </w:rPr>
        <w:t>-</w:t>
      </w:r>
      <w:r w:rsidRPr="00A20A1B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lang w:eastAsia="en-US"/>
        </w:rPr>
        <w:t>-</w:t>
      </w:r>
      <w:r w:rsidRPr="00A20A1B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lang w:eastAsia="en-US"/>
        </w:rPr>
        <w:t>-</w:t>
      </w:r>
      <w:r w:rsidRPr="00A20A1B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5. Максимальный процент застройки в границах земельного участка – 60%от площади земельного участка.</w:t>
      </w:r>
    </w:p>
    <w:p w:rsidR="00A20A1B" w:rsidRPr="00A20A1B" w:rsidRDefault="00A20A1B" w:rsidP="00A20A1B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6. Коэффициент озеленения территории – не менее 0,3 от площади земельного участка, к</w:t>
      </w:r>
      <w:r w:rsidRPr="00A20A1B">
        <w:rPr>
          <w:rFonts w:ascii="Times New Roman" w:eastAsia="Times New Roman" w:hAnsi="Times New Roman" w:cs="Times New Roman"/>
          <w:bCs/>
          <w:lang w:eastAsia="ar-SA"/>
        </w:rPr>
        <w:t xml:space="preserve">оэффициент </w:t>
      </w:r>
      <w:proofErr w:type="spellStart"/>
      <w:r w:rsidRPr="00A20A1B">
        <w:rPr>
          <w:rFonts w:ascii="Times New Roman" w:eastAsia="Times New Roman" w:hAnsi="Times New Roman" w:cs="Times New Roman"/>
          <w:bCs/>
          <w:lang w:eastAsia="ar-SA"/>
        </w:rPr>
        <w:t>машино</w:t>
      </w:r>
      <w:proofErr w:type="spellEnd"/>
      <w:r w:rsidRPr="00A20A1B">
        <w:rPr>
          <w:rFonts w:ascii="Times New Roman" w:eastAsia="Times New Roman" w:hAnsi="Times New Roman" w:cs="Times New Roman"/>
          <w:bCs/>
          <w:lang w:eastAsia="ar-SA"/>
        </w:rPr>
        <w:t>-мест – 1,0 от количества квартир;</w:t>
      </w:r>
    </w:p>
    <w:p w:rsidR="00A20A1B" w:rsidRPr="00A20A1B" w:rsidRDefault="00A20A1B" w:rsidP="00A20A1B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</w:r>
    </w:p>
    <w:p w:rsidR="00A20A1B" w:rsidRPr="00A20A1B" w:rsidRDefault="00A20A1B" w:rsidP="00A20A1B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8.</w:t>
      </w:r>
      <w:r w:rsidRPr="00A20A1B">
        <w:rPr>
          <w:rFonts w:ascii="Times New Roman" w:eastAsia="Times New Roman" w:hAnsi="Times New Roman" w:cs="Times New Roman"/>
          <w:i/>
          <w:lang w:eastAsia="ar-SA"/>
        </w:rPr>
        <w:t xml:space="preserve">  </w:t>
      </w:r>
      <w:r w:rsidRPr="00A20A1B">
        <w:rPr>
          <w:rFonts w:ascii="Times New Roman" w:eastAsia="Times New Roman" w:hAnsi="Times New Roman" w:cs="Times New Roman"/>
          <w:lang w:eastAsia="ar-SA"/>
        </w:rPr>
        <w:t>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</w:r>
    </w:p>
    <w:p w:rsidR="00A20A1B" w:rsidRPr="00A20A1B" w:rsidRDefault="00A20A1B" w:rsidP="00A20A1B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i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9. Для объектов нежилого назначения и торгового назначения о</w:t>
      </w:r>
      <w:r w:rsidRPr="00A20A1B">
        <w:rPr>
          <w:rFonts w:ascii="Times New Roman" w:eastAsia="Times New Roman" w:hAnsi="Times New Roman" w:cs="Times New Roman"/>
          <w:bCs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безбарьерных проездов и организацией съездов для </w:t>
      </w:r>
      <w:r w:rsidRPr="00A20A1B">
        <w:rPr>
          <w:rFonts w:ascii="Times New Roman" w:eastAsia="Times New Roman" w:hAnsi="Times New Roman" w:cs="Times New Roman"/>
          <w:bCs/>
          <w:lang w:eastAsia="ar-SA"/>
        </w:rPr>
        <w:lastRenderedPageBreak/>
        <w:t>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10FD1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  <w:r w:rsidRPr="0020112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201128">
        <w:rPr>
          <w:rFonts w:ascii="Times New Roman" w:hAnsi="Times New Roman" w:cs="Times New Roman"/>
          <w:b/>
        </w:rPr>
        <w:tab/>
        <w:t>обеспечения:</w:t>
      </w:r>
    </w:p>
    <w:p w:rsidR="002A5403" w:rsidRPr="00A75B85" w:rsidRDefault="00A75B85" w:rsidP="00A75B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75B85">
        <w:rPr>
          <w:rFonts w:ascii="Times New Roman" w:hAnsi="Times New Roman" w:cs="Times New Roman"/>
        </w:rPr>
        <w:t xml:space="preserve">Лот № 1: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696</w:t>
      </w:r>
      <w:r w:rsidRPr="00A75B85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04.09.2024</w:t>
      </w:r>
      <w:r w:rsidRPr="00A75B85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адресу: </w:t>
      </w:r>
      <w:r w:rsidRPr="00A75B85">
        <w:rPr>
          <w:rFonts w:ascii="Times New Roman" w:hAnsi="Times New Roman" w:cs="Times New Roman"/>
        </w:rPr>
        <w:t>Российская Федерация, Астраханская область, Приволжский муниципальный район, сельское поселение Началовский сельсовет, пос. Новоначаловский, ул. Дачная, з/у 23А/1</w:t>
      </w:r>
      <w:r>
        <w:rPr>
          <w:rFonts w:ascii="Times New Roman" w:hAnsi="Times New Roman" w:cs="Times New Roman"/>
        </w:rPr>
        <w:t xml:space="preserve"> </w:t>
      </w:r>
      <w:r w:rsidRPr="00A75B85">
        <w:rPr>
          <w:rFonts w:ascii="Times New Roman" w:hAnsi="Times New Roman" w:cs="Times New Roman"/>
        </w:rPr>
        <w:t>составляет 1</w:t>
      </w:r>
      <w:r>
        <w:rPr>
          <w:rFonts w:ascii="Times New Roman" w:hAnsi="Times New Roman" w:cs="Times New Roman"/>
        </w:rPr>
        <w:t>1</w:t>
      </w:r>
      <w:r w:rsidRPr="00A75B85">
        <w:rPr>
          <w:rFonts w:ascii="Times New Roman" w:hAnsi="Times New Roman" w:cs="Times New Roman"/>
        </w:rPr>
        <w:t>0 ПНД.</w:t>
      </w:r>
    </w:p>
    <w:p w:rsidR="00D10FD1" w:rsidRPr="0020112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20112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ab/>
      </w:r>
      <w:r w:rsidR="00507802" w:rsidRPr="0020112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201128">
        <w:rPr>
          <w:rFonts w:ascii="Times New Roman" w:hAnsi="Times New Roman" w:cs="Times New Roman"/>
        </w:rPr>
        <w:t>второй</w:t>
      </w:r>
      <w:r w:rsidR="00507802" w:rsidRPr="00201128">
        <w:rPr>
          <w:rFonts w:ascii="Times New Roman" w:hAnsi="Times New Roman" w:cs="Times New Roman"/>
        </w:rPr>
        <w:t xml:space="preserve"> этаж, </w:t>
      </w:r>
      <w:r w:rsidR="006B5F71" w:rsidRPr="00201128">
        <w:rPr>
          <w:rFonts w:ascii="Times New Roman" w:hAnsi="Times New Roman" w:cs="Times New Roman"/>
        </w:rPr>
        <w:t>каб.</w:t>
      </w:r>
      <w:r w:rsidR="0023229E" w:rsidRPr="00201128">
        <w:rPr>
          <w:rFonts w:ascii="Times New Roman" w:hAnsi="Times New Roman" w:cs="Times New Roman"/>
        </w:rPr>
        <w:t>2</w:t>
      </w:r>
      <w:r w:rsidR="009239C7" w:rsidRPr="00201128">
        <w:rPr>
          <w:rFonts w:ascii="Times New Roman" w:hAnsi="Times New Roman" w:cs="Times New Roman"/>
        </w:rPr>
        <w:t>06</w:t>
      </w:r>
      <w:r w:rsidR="006B5F71" w:rsidRPr="00201128">
        <w:rPr>
          <w:rFonts w:ascii="Times New Roman" w:hAnsi="Times New Roman" w:cs="Times New Roman"/>
        </w:rPr>
        <w:t>.</w:t>
      </w:r>
    </w:p>
    <w:p w:rsidR="00312D63" w:rsidRPr="0020112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Кон</w:t>
      </w:r>
      <w:r w:rsidR="009239C7" w:rsidRPr="00201128">
        <w:rPr>
          <w:rFonts w:ascii="Times New Roman" w:hAnsi="Times New Roman" w:cs="Times New Roman"/>
        </w:rPr>
        <w:t>тактный телефон - (8512) 40-61-04</w:t>
      </w:r>
      <w:r w:rsidRPr="0020112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A75B85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FF3BB8" w:rsidRDefault="008C29A6" w:rsidP="00FF3BB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lastRenderedPageBreak/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  <w:r w:rsidR="00FF3BB8" w:rsidRPr="00FF3BB8">
        <w:rPr>
          <w:rFonts w:ascii="Times New Roman" w:hAnsi="Times New Roman" w:cs="Times New Roman"/>
        </w:rPr>
        <w:t xml:space="preserve"> </w:t>
      </w:r>
    </w:p>
    <w:p w:rsidR="008C29A6" w:rsidRPr="00FF3BB8" w:rsidRDefault="00FF3BB8" w:rsidP="00FF3BB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</w:t>
      </w:r>
      <w:r w:rsidRPr="00BC5D48">
        <w:rPr>
          <w:rFonts w:ascii="Times New Roman" w:hAnsi="Times New Roman" w:cs="Times New Roman"/>
          <w:snapToGrid w:val="0"/>
        </w:rPr>
        <w:lastRenderedPageBreak/>
        <w:t>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</w:t>
      </w:r>
      <w:r w:rsidRPr="00BC5D48">
        <w:rPr>
          <w:rFonts w:ascii="Times New Roman" w:hAnsi="Times New Roman" w:cs="Times New Roman"/>
        </w:rPr>
        <w:lastRenderedPageBreak/>
        <w:t>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8C697D">
        <w:rPr>
          <w:rFonts w:ascii="Times New Roman" w:hAnsi="Times New Roman" w:cs="Times New Roman"/>
        </w:rPr>
        <w:t xml:space="preserve"> 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2F66"/>
    <w:rsid w:val="00076FA2"/>
    <w:rsid w:val="0009222D"/>
    <w:rsid w:val="000A625B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13A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4EC6"/>
    <w:rsid w:val="00185D8F"/>
    <w:rsid w:val="001A4D40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01128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43C3C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A5403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941BB"/>
    <w:rsid w:val="004A3231"/>
    <w:rsid w:val="004A59C9"/>
    <w:rsid w:val="004B3A30"/>
    <w:rsid w:val="004C1D02"/>
    <w:rsid w:val="004C3880"/>
    <w:rsid w:val="004C55AA"/>
    <w:rsid w:val="004C71E6"/>
    <w:rsid w:val="004D1094"/>
    <w:rsid w:val="004D491B"/>
    <w:rsid w:val="004D4A44"/>
    <w:rsid w:val="004E2F7C"/>
    <w:rsid w:val="004E43C7"/>
    <w:rsid w:val="004F195D"/>
    <w:rsid w:val="004F58FD"/>
    <w:rsid w:val="005003CF"/>
    <w:rsid w:val="00507802"/>
    <w:rsid w:val="005144A9"/>
    <w:rsid w:val="00517533"/>
    <w:rsid w:val="005176E3"/>
    <w:rsid w:val="00523120"/>
    <w:rsid w:val="005262F2"/>
    <w:rsid w:val="00541836"/>
    <w:rsid w:val="00550C4B"/>
    <w:rsid w:val="00570F63"/>
    <w:rsid w:val="00573224"/>
    <w:rsid w:val="00576366"/>
    <w:rsid w:val="00583FA1"/>
    <w:rsid w:val="005A2E0C"/>
    <w:rsid w:val="005A493E"/>
    <w:rsid w:val="005A5739"/>
    <w:rsid w:val="005B6D11"/>
    <w:rsid w:val="005C0B93"/>
    <w:rsid w:val="005C2F33"/>
    <w:rsid w:val="005C314D"/>
    <w:rsid w:val="005C4229"/>
    <w:rsid w:val="005C7E8A"/>
    <w:rsid w:val="005D5C35"/>
    <w:rsid w:val="005E1C46"/>
    <w:rsid w:val="005E5292"/>
    <w:rsid w:val="005F220D"/>
    <w:rsid w:val="006069D9"/>
    <w:rsid w:val="00607D23"/>
    <w:rsid w:val="00617C09"/>
    <w:rsid w:val="0062163E"/>
    <w:rsid w:val="00637C2F"/>
    <w:rsid w:val="00637C84"/>
    <w:rsid w:val="00647EEE"/>
    <w:rsid w:val="0066621E"/>
    <w:rsid w:val="006662F7"/>
    <w:rsid w:val="0066723A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4C46"/>
    <w:rsid w:val="00745C2B"/>
    <w:rsid w:val="00750CD1"/>
    <w:rsid w:val="00767955"/>
    <w:rsid w:val="00770D0C"/>
    <w:rsid w:val="00775F0F"/>
    <w:rsid w:val="007820E4"/>
    <w:rsid w:val="00782366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5387E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C697D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241B5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0A1B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5B85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24FE"/>
    <w:rsid w:val="00AB3CC1"/>
    <w:rsid w:val="00AB4C58"/>
    <w:rsid w:val="00AD422E"/>
    <w:rsid w:val="00AD4B33"/>
    <w:rsid w:val="00AD53BF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1103"/>
    <w:rsid w:val="00B427F5"/>
    <w:rsid w:val="00B6466F"/>
    <w:rsid w:val="00B660AE"/>
    <w:rsid w:val="00B804BD"/>
    <w:rsid w:val="00B9299F"/>
    <w:rsid w:val="00BB0191"/>
    <w:rsid w:val="00BB3F93"/>
    <w:rsid w:val="00BB7AA9"/>
    <w:rsid w:val="00BC5255"/>
    <w:rsid w:val="00BC5D48"/>
    <w:rsid w:val="00BD15C5"/>
    <w:rsid w:val="00BD2CC1"/>
    <w:rsid w:val="00BD6780"/>
    <w:rsid w:val="00BE2FD7"/>
    <w:rsid w:val="00BF38C9"/>
    <w:rsid w:val="00BF64FB"/>
    <w:rsid w:val="00C2088A"/>
    <w:rsid w:val="00C325D4"/>
    <w:rsid w:val="00C3407F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2A3A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099B"/>
    <w:rsid w:val="00E34FB6"/>
    <w:rsid w:val="00E35111"/>
    <w:rsid w:val="00E4042C"/>
    <w:rsid w:val="00E47688"/>
    <w:rsid w:val="00E63512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44C3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0AB0"/>
    <w:rsid w:val="00FC121F"/>
    <w:rsid w:val="00FC4FC7"/>
    <w:rsid w:val="00FD3A03"/>
    <w:rsid w:val="00FE5196"/>
    <w:rsid w:val="00FE62D3"/>
    <w:rsid w:val="00FF2A90"/>
    <w:rsid w:val="00FF3BB8"/>
    <w:rsid w:val="00FF634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7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3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5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28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22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189D-35A8-4DCB-8787-1A0E0DD5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7</Pages>
  <Words>3218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107</cp:revision>
  <cp:lastPrinted>2023-11-20T13:33:00Z</cp:lastPrinted>
  <dcterms:created xsi:type="dcterms:W3CDTF">2022-03-11T11:26:00Z</dcterms:created>
  <dcterms:modified xsi:type="dcterms:W3CDTF">2025-02-25T13:43:00Z</dcterms:modified>
</cp:coreProperties>
</file>