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8C746F">
        <w:rPr>
          <w:sz w:val="22"/>
          <w:szCs w:val="22"/>
        </w:rPr>
        <w:t xml:space="preserve">№ 759 р от 24.04.2023 г., </w:t>
      </w:r>
      <w:r w:rsidR="00754841">
        <w:rPr>
          <w:sz w:val="22"/>
          <w:szCs w:val="22"/>
        </w:rPr>
        <w:t xml:space="preserve">№ 758 р от 24.04.2023 г., № 911 р от 17.05.2023 г., </w:t>
      </w:r>
      <w:r w:rsidR="009E422B">
        <w:rPr>
          <w:sz w:val="22"/>
          <w:szCs w:val="22"/>
        </w:rPr>
        <w:t xml:space="preserve">№ 1115 р от 21.06.2023 г., № 999 р от 05.06.2023 г., </w:t>
      </w:r>
      <w:r w:rsidR="00FA6FD8">
        <w:rPr>
          <w:sz w:val="22"/>
          <w:szCs w:val="22"/>
        </w:rPr>
        <w:t xml:space="preserve">№ 1379 р от 06.07.2023 г., </w:t>
      </w:r>
      <w:r w:rsidR="00CF3799">
        <w:rPr>
          <w:sz w:val="22"/>
          <w:szCs w:val="22"/>
        </w:rPr>
        <w:t>№1333р от 03.07.2023 г.,</w:t>
      </w:r>
      <w:r w:rsidR="00A633DF">
        <w:rPr>
          <w:sz w:val="22"/>
          <w:szCs w:val="22"/>
        </w:rPr>
        <w:t xml:space="preserve"> №1336 р от 03.07.2023 г., №1339 р от 03.07.2023 г.,1337 р от 03.07.2023 г.,</w:t>
      </w:r>
      <w:r w:rsidR="002C2AE4">
        <w:rPr>
          <w:sz w:val="22"/>
          <w:szCs w:val="22"/>
        </w:rPr>
        <w:t xml:space="preserve"> </w:t>
      </w:r>
      <w:r w:rsidR="00A633DF">
        <w:rPr>
          <w:sz w:val="22"/>
          <w:szCs w:val="22"/>
        </w:rPr>
        <w:t>№1335</w:t>
      </w:r>
      <w:r w:rsidR="00FA6FD8">
        <w:rPr>
          <w:sz w:val="22"/>
          <w:szCs w:val="22"/>
        </w:rPr>
        <w:t xml:space="preserve"> </w:t>
      </w:r>
      <w:r w:rsidR="00A633DF">
        <w:rPr>
          <w:sz w:val="22"/>
          <w:szCs w:val="22"/>
        </w:rPr>
        <w:t>р от 03.07.2023 г.,</w:t>
      </w:r>
      <w:r w:rsidR="00CA7431">
        <w:rPr>
          <w:sz w:val="22"/>
          <w:szCs w:val="22"/>
        </w:rPr>
        <w:t xml:space="preserve"> № 1378 р от 06.07.2023 г., </w:t>
      </w:r>
      <w:r w:rsidR="00FC4694">
        <w:rPr>
          <w:sz w:val="22"/>
          <w:szCs w:val="22"/>
        </w:rPr>
        <w:t xml:space="preserve">№ 1331 р от 03.07.2023 г., № 1330 р от 03.07.2023 г., </w:t>
      </w:r>
      <w:r w:rsidR="00BA28BA">
        <w:rPr>
          <w:sz w:val="22"/>
          <w:szCs w:val="22"/>
        </w:rPr>
        <w:t xml:space="preserve">№ 1329 р от 03.07.2023 г., </w:t>
      </w:r>
      <w:r w:rsidR="007D6B39">
        <w:rPr>
          <w:sz w:val="22"/>
          <w:szCs w:val="22"/>
        </w:rPr>
        <w:t xml:space="preserve">№ 1326 р от 03.07.2023 г., № 1327 р от 03.07.2023 г., № 1322 р от 03.07.2023 г., № 1321 р от 03.07.2023 г., </w:t>
      </w:r>
      <w:r w:rsidR="00394E95">
        <w:rPr>
          <w:sz w:val="22"/>
          <w:szCs w:val="22"/>
        </w:rPr>
        <w:t xml:space="preserve">№ 1328 р от 03.07.2023 г., № 1320 р от 03.07.2023 г., </w:t>
      </w:r>
      <w:r w:rsidR="00992720">
        <w:rPr>
          <w:sz w:val="22"/>
          <w:szCs w:val="22"/>
        </w:rPr>
        <w:t xml:space="preserve">№ 1319 р от 03.07.2023 г., № 1316 р от 03.07.2023 г., </w:t>
      </w:r>
      <w:r w:rsidR="00222735">
        <w:rPr>
          <w:sz w:val="22"/>
          <w:szCs w:val="22"/>
        </w:rPr>
        <w:t xml:space="preserve">№ 1370 р от 04.07.2023 г., № 1369 р от 04.07.2023 г., № 1317 р от 03.07.2023 г., </w:t>
      </w:r>
      <w:r w:rsidR="00BA5EDE">
        <w:rPr>
          <w:sz w:val="22"/>
          <w:szCs w:val="22"/>
        </w:rPr>
        <w:t xml:space="preserve">№ 1318 р от 03.07.2023 г., № 1325 р от 03.07.2023 г., № 1323 р от 03.07.2023 г., </w:t>
      </w:r>
      <w:r w:rsidR="0053661B">
        <w:rPr>
          <w:sz w:val="22"/>
          <w:szCs w:val="22"/>
        </w:rPr>
        <w:t>№ 1324 р от 03.07.2023 г.</w:t>
      </w:r>
      <w:r w:rsidR="0066208A">
        <w:rPr>
          <w:sz w:val="22"/>
          <w:szCs w:val="22"/>
        </w:rPr>
        <w:t>, № 1381 р от 06.07.2023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762DC5">
        <w:rPr>
          <w:sz w:val="22"/>
          <w:szCs w:val="22"/>
        </w:rPr>
        <w:t>07 июля</w:t>
      </w:r>
      <w:r w:rsidR="00CC1BA0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2023</w:t>
      </w:r>
      <w:r w:rsidRPr="001131A0">
        <w:rPr>
          <w:sz w:val="22"/>
          <w:szCs w:val="22"/>
        </w:rPr>
        <w:t xml:space="preserve"> 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762DC5">
        <w:rPr>
          <w:sz w:val="22"/>
          <w:szCs w:val="22"/>
        </w:rPr>
        <w:t>07 августа</w:t>
      </w:r>
      <w:r w:rsidR="000E2153" w:rsidRPr="001131A0">
        <w:rPr>
          <w:sz w:val="22"/>
          <w:szCs w:val="22"/>
        </w:rPr>
        <w:t xml:space="preserve"> </w:t>
      </w:r>
      <w:r w:rsidR="00E4042C" w:rsidRPr="001131A0">
        <w:rPr>
          <w:sz w:val="22"/>
          <w:szCs w:val="22"/>
        </w:rPr>
        <w:t>2023</w:t>
      </w:r>
      <w:r w:rsidR="00343209" w:rsidRPr="001131A0">
        <w:rPr>
          <w:sz w:val="22"/>
          <w:szCs w:val="22"/>
        </w:rPr>
        <w:t xml:space="preserve"> г. в 14:00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762DC5">
        <w:rPr>
          <w:sz w:val="22"/>
          <w:szCs w:val="22"/>
        </w:rPr>
        <w:t>08 августа</w:t>
      </w:r>
      <w:r w:rsidR="00E4042C" w:rsidRPr="001131A0">
        <w:rPr>
          <w:sz w:val="22"/>
          <w:szCs w:val="22"/>
        </w:rPr>
        <w:t xml:space="preserve"> 2023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762DC5">
        <w:rPr>
          <w:sz w:val="22"/>
          <w:szCs w:val="22"/>
        </w:rPr>
        <w:t>09 августа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1131A0" w:rsidRPr="001131A0">
        <w:rPr>
          <w:color w:val="FF0000"/>
          <w:sz w:val="22"/>
          <w:szCs w:val="22"/>
        </w:rPr>
        <w:t>1</w:t>
      </w:r>
      <w:r w:rsidR="00762DC5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56"/>
        <w:gridCol w:w="965"/>
        <w:gridCol w:w="2125"/>
        <w:gridCol w:w="1276"/>
        <w:gridCol w:w="992"/>
        <w:gridCol w:w="992"/>
      </w:tblGrid>
      <w:tr w:rsidR="00507802" w:rsidRPr="001131A0" w:rsidTr="00A93FA1">
        <w:trPr>
          <w:trHeight w:val="7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D3789C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CC" w:rsidRPr="001131A0" w:rsidRDefault="008C746F" w:rsidP="008C746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р-н Приволжский, с. </w:t>
            </w:r>
            <w:proofErr w:type="spellStart"/>
            <w:r>
              <w:rPr>
                <w:sz w:val="22"/>
                <w:szCs w:val="22"/>
              </w:rPr>
              <w:t>Атал</w:t>
            </w:r>
            <w:proofErr w:type="spellEnd"/>
            <w:r>
              <w:rPr>
                <w:sz w:val="22"/>
                <w:szCs w:val="22"/>
              </w:rPr>
              <w:t xml:space="preserve">, ул. Уютная, 1 «А» для </w:t>
            </w:r>
            <w:proofErr w:type="spellStart"/>
            <w:r>
              <w:rPr>
                <w:sz w:val="22"/>
                <w:szCs w:val="22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1131A0" w:rsidRDefault="008C746F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8C746F" w:rsidRDefault="008C746F" w:rsidP="008C74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30:09:150404:108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1131A0" w:rsidRDefault="008C746F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164389,52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1131A0" w:rsidRDefault="008C746F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53661B" w:rsidRDefault="008C746F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4931</w:t>
            </w:r>
          </w:p>
        </w:tc>
      </w:tr>
      <w:tr w:rsidR="008C746F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8C746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р-н Приволжский, с. </w:t>
            </w:r>
            <w:proofErr w:type="spellStart"/>
            <w:r>
              <w:rPr>
                <w:sz w:val="22"/>
                <w:szCs w:val="22"/>
              </w:rPr>
              <w:t>Атал</w:t>
            </w:r>
            <w:proofErr w:type="spellEnd"/>
            <w:r>
              <w:rPr>
                <w:sz w:val="22"/>
                <w:szCs w:val="22"/>
              </w:rPr>
              <w:t xml:space="preserve">, ул. Уютная, 3 «А» для </w:t>
            </w:r>
            <w:proofErr w:type="spellStart"/>
            <w:r>
              <w:rPr>
                <w:sz w:val="22"/>
                <w:szCs w:val="22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8C74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30:09:150404:110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53661B" w:rsidRDefault="008C746F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4616</w:t>
            </w:r>
          </w:p>
        </w:tc>
      </w:tr>
      <w:tr w:rsidR="008C746F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8C746F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  <w:r w:rsidR="00754841">
              <w:rPr>
                <w:sz w:val="22"/>
                <w:szCs w:val="22"/>
              </w:rPr>
              <w:t xml:space="preserve">, Приволжский муниципальный район, сельское поселение Бирюковский сельсовет, поселок </w:t>
            </w:r>
            <w:proofErr w:type="spellStart"/>
            <w:r w:rsidR="00754841">
              <w:rPr>
                <w:sz w:val="22"/>
                <w:szCs w:val="22"/>
              </w:rPr>
              <w:t>Бушма</w:t>
            </w:r>
            <w:proofErr w:type="spellEnd"/>
            <w:r w:rsidR="00754841">
              <w:rPr>
                <w:sz w:val="22"/>
                <w:szCs w:val="22"/>
              </w:rPr>
              <w:t xml:space="preserve">, улица Набережная, з/у 6 </w:t>
            </w:r>
            <w:proofErr w:type="spellStart"/>
            <w:r w:rsidR="00754841">
              <w:rPr>
                <w:sz w:val="22"/>
                <w:szCs w:val="22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754841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754841" w:rsidP="008C74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30:09:031201:272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754841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132664,42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754841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53661B" w:rsidRDefault="00754841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3979</w:t>
            </w:r>
          </w:p>
        </w:tc>
      </w:tr>
      <w:tr w:rsidR="009E422B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Default="009E422B" w:rsidP="009E422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Приволжский муниципальный район, сельское поселение Трехпротокский сельсовет, с. </w:t>
            </w:r>
            <w:proofErr w:type="spellStart"/>
            <w:r>
              <w:rPr>
                <w:sz w:val="22"/>
                <w:szCs w:val="22"/>
              </w:rPr>
              <w:t>Кулаковка</w:t>
            </w:r>
            <w:proofErr w:type="spellEnd"/>
            <w:r>
              <w:rPr>
                <w:sz w:val="22"/>
                <w:szCs w:val="22"/>
              </w:rPr>
              <w:t xml:space="preserve">, ул. Заречная, з/у 43А для </w:t>
            </w:r>
            <w:proofErr w:type="spellStart"/>
            <w:r>
              <w:rPr>
                <w:sz w:val="22"/>
                <w:szCs w:val="22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Default="009E422B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Default="009E422B" w:rsidP="008C74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30:09:090207:159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Default="009E422B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277953,14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Default="009E422B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2B" w:rsidRPr="0053661B" w:rsidRDefault="009E422B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8338</w:t>
            </w:r>
          </w:p>
        </w:tc>
      </w:tr>
      <w:tr w:rsidR="00B01FD2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Default="00B01FD2" w:rsidP="00B01FD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Астраханская область, муниципальный район Приволжский, сельское поселение село Карагали</w:t>
            </w:r>
            <w:r w:rsidR="00762DC5">
              <w:rPr>
                <w:sz w:val="22"/>
                <w:szCs w:val="22"/>
              </w:rPr>
              <w:t>, село</w:t>
            </w:r>
            <w:r>
              <w:rPr>
                <w:sz w:val="22"/>
                <w:szCs w:val="22"/>
              </w:rPr>
              <w:t xml:space="preserve"> Карагали, улица Новая, земельный участок 11 для </w:t>
            </w:r>
            <w:proofErr w:type="spellStart"/>
            <w:r>
              <w:rPr>
                <w:sz w:val="22"/>
                <w:szCs w:val="22"/>
              </w:rPr>
              <w:t>лпх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Default="00B01FD2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Default="00B01FD2" w:rsidP="008C746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30:09:130306:143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Default="00B01FD2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549575,50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Default="00B01FD2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D2" w:rsidRPr="0053661B" w:rsidRDefault="00B01FD2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16487</w:t>
            </w:r>
          </w:p>
        </w:tc>
      </w:tr>
      <w:tr w:rsidR="008C746F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1131A0" w:rsidRDefault="008C746F" w:rsidP="00A633DF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1131A0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 район, с. Осыпной Бугор, ул. Жукова, 6 для малоэтажной жилой застройки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8F9FA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1131A0" w:rsidRDefault="008C746F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131A0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100201</w:t>
            </w:r>
            <w:r w:rsidRPr="001131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Default="008C746F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F" w:rsidRPr="0053661B" w:rsidRDefault="008C746F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9074</w:t>
            </w:r>
          </w:p>
        </w:tc>
      </w:tr>
      <w:tr w:rsidR="00EA3431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Pr="001131A0" w:rsidRDefault="00EA3431" w:rsidP="00FA6FD8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1131A0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 район, с. Килинчи, ул. </w:t>
            </w:r>
            <w:r w:rsidR="00FA6FD8">
              <w:rPr>
                <w:color w:val="000000"/>
                <w:sz w:val="22"/>
                <w:szCs w:val="22"/>
                <w:shd w:val="clear" w:color="auto" w:fill="F8F9FA"/>
              </w:rPr>
              <w:t xml:space="preserve">М. </w:t>
            </w:r>
            <w:proofErr w:type="spellStart"/>
            <w:r w:rsidR="00FA6FD8">
              <w:rPr>
                <w:color w:val="000000"/>
                <w:sz w:val="22"/>
                <w:szCs w:val="22"/>
                <w:shd w:val="clear" w:color="auto" w:fill="F8F9FA"/>
              </w:rPr>
              <w:t>Джалиля</w:t>
            </w:r>
            <w:proofErr w:type="spellEnd"/>
            <w:r w:rsidR="00FA6FD8">
              <w:rPr>
                <w:color w:val="000000"/>
                <w:sz w:val="22"/>
                <w:szCs w:val="22"/>
                <w:shd w:val="clear" w:color="auto" w:fill="F8F9FA"/>
              </w:rPr>
              <w:t>, 30 «а»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лпх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Default="00EA3431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Pr="001131A0" w:rsidRDefault="00EA3431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30:09:080216:458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Default="00EA3431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160845</w:t>
            </w:r>
            <w:r w:rsidR="00FA6FD8">
              <w:rPr>
                <w:sz w:val="22"/>
                <w:szCs w:val="22"/>
              </w:rP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Default="00EA3431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1" w:rsidRPr="0053661B" w:rsidRDefault="00EA3431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4826</w:t>
            </w:r>
          </w:p>
        </w:tc>
      </w:tr>
      <w:tr w:rsidR="00CB4667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Pr="001131A0" w:rsidRDefault="00CB4667" w:rsidP="00CB466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CB4667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с. Растопуловка, ул. Керменчикская, 14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Default="00CB4667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Default="00CB4667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Default="00CB4667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Default="00CB4667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67" w:rsidRPr="0053661B" w:rsidRDefault="00CB4667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4253</w:t>
            </w:r>
          </w:p>
        </w:tc>
      </w:tr>
      <w:tr w:rsidR="003D3BE7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Pr="00CB4667" w:rsidRDefault="003D3BE7" w:rsidP="00CB466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п. Кинелле, ул. Набережная, 1 «А»</w:t>
            </w:r>
            <w:r w:rsidR="00CA7431">
              <w:rPr>
                <w:color w:val="000000"/>
                <w:sz w:val="22"/>
                <w:szCs w:val="22"/>
                <w:shd w:val="clear" w:color="auto" w:fill="F8F9FA"/>
              </w:rPr>
              <w:t xml:space="preserve"> для </w:t>
            </w:r>
            <w:proofErr w:type="spellStart"/>
            <w:r w:rsidR="00CA7431">
              <w:rPr>
                <w:color w:val="000000"/>
                <w:sz w:val="22"/>
                <w:szCs w:val="22"/>
                <w:shd w:val="clear" w:color="auto" w:fill="F8F9FA"/>
              </w:rPr>
              <w:t>лпх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Default="003D3BE7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Default="003D3BE7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30:09:080601:64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Default="003D3BE7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Default="003D3BE7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7" w:rsidRPr="0053661B" w:rsidRDefault="003D3BE7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6574</w:t>
            </w:r>
          </w:p>
        </w:tc>
      </w:tr>
      <w:tr w:rsidR="00E37F6B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Default="008C746F" w:rsidP="00CB466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Астраханская</w:t>
            </w:r>
            <w:r w:rsidR="00E37F6B">
              <w:rPr>
                <w:color w:val="000000"/>
                <w:sz w:val="22"/>
                <w:szCs w:val="22"/>
                <w:shd w:val="clear" w:color="auto" w:fill="F8F9FA"/>
              </w:rPr>
              <w:t xml:space="preserve"> область, Приволжский район, с. Три Протока, ул. Юбилейная, 8</w:t>
            </w:r>
            <w:r w:rsidR="00CA7431">
              <w:rPr>
                <w:color w:val="000000"/>
                <w:sz w:val="22"/>
                <w:szCs w:val="22"/>
                <w:shd w:val="clear" w:color="auto" w:fill="F8F9FA"/>
              </w:rPr>
              <w:t xml:space="preserve"> для </w:t>
            </w:r>
            <w:proofErr w:type="spellStart"/>
            <w:r w:rsidR="00CA7431"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Default="00E37F6B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Default="00E37F6B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30:09:090406:50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Default="00E37F6B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Default="00E37F6B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B" w:rsidRPr="0053661B" w:rsidRDefault="00E37F6B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13710</w:t>
            </w:r>
          </w:p>
        </w:tc>
      </w:tr>
      <w:tr w:rsidR="00CA7431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CB466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п. Кирпичного Завода №1, ул. Толстого, 13 «б» для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30:09:100405:1349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139502,26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Pr="0053661B" w:rsidRDefault="00CA7431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4185</w:t>
            </w:r>
          </w:p>
        </w:tc>
      </w:tr>
      <w:tr w:rsidR="00CA7431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CB466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39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CA7431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Default="00FC4694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31" w:rsidRPr="0053661B" w:rsidRDefault="00FC4694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FC4694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FC4694" w:rsidP="00FC4694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41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FC4694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FC4694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FC4694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FC4694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Pr="0053661B" w:rsidRDefault="00FC4694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FC4694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BA28BA" w:rsidP="00BA28BA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37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BA28BA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BA28BA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BA28B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Default="00BA28B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94" w:rsidRPr="0053661B" w:rsidRDefault="00BA28BA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A28BA" w:rsidRPr="001131A0" w:rsidTr="0053661B">
        <w:trPr>
          <w:trHeight w:val="27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BA28BA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Нижегородская, з/у 38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Pr="0053661B" w:rsidRDefault="00BA28BA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A28BA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BA28BA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40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Pr="0053661B" w:rsidRDefault="00BA28BA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A28BA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BA28BA" w:rsidP="00BA28BA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36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7D6B39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7D6B39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7D6B39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Default="007D6B39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A" w:rsidRPr="0053661B" w:rsidRDefault="007D6B39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7D6B39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7D6B39" w:rsidP="007D6B39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33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7D6B39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7D6B39" w:rsidP="00A633D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7D6B39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7D6B39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Pr="0053661B" w:rsidRDefault="007D6B39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7D6B39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394E95" w:rsidP="00394E9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35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394E9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394E9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394E9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Default="00394E9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39" w:rsidRPr="0053661B" w:rsidRDefault="00394E9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394E9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394E95" w:rsidP="00394E9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31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394E9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394E9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394E9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394E9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Pr="0053661B" w:rsidRDefault="00394E9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394E9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992720" w:rsidP="00394E9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32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992720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992720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992720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Default="00992720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95" w:rsidRPr="0053661B" w:rsidRDefault="00992720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992720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Default="00992720" w:rsidP="00992720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34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Default="00992720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Default="00992720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Default="00992720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Default="00992720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0" w:rsidRPr="0053661B" w:rsidRDefault="00992720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22273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22273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Pr="0053661B" w:rsidRDefault="0022273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22273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22273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поселение село Карагали, село Карагали, улица Нижегородская, земельный участок 27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Pr="0053661B" w:rsidRDefault="0022273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22273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22273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29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Pr="0053661B" w:rsidRDefault="0022273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222735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222735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25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Default="00222735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35" w:rsidRPr="0053661B" w:rsidRDefault="00222735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A5EDE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BA5EDE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з/у 26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Pr="0053661B" w:rsidRDefault="00BA5EDE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A5EDE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BA5EDE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28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394E9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Default="00BA5EDE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DE" w:rsidRPr="0053661B" w:rsidRDefault="00BA5EDE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B02353" w:rsidRPr="001131A0" w:rsidTr="005560F7">
        <w:trPr>
          <w:trHeight w:val="159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Default="00B02353" w:rsidP="00B02353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24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Default="00B02353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Default="00B02353" w:rsidP="00B023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Default="0053661B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Default="0053661B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3" w:rsidRPr="0053661B" w:rsidRDefault="0053661B" w:rsidP="00711B43">
            <w:pPr>
              <w:jc w:val="center"/>
              <w:rPr>
                <w:sz w:val="22"/>
                <w:szCs w:val="22"/>
              </w:rPr>
            </w:pPr>
            <w:r w:rsidRPr="0053661B">
              <w:rPr>
                <w:sz w:val="22"/>
                <w:szCs w:val="22"/>
              </w:rPr>
              <w:t>9083</w:t>
            </w:r>
          </w:p>
        </w:tc>
      </w:tr>
      <w:tr w:rsidR="0053661B" w:rsidRPr="001131A0" w:rsidTr="00A93FA1">
        <w:trPr>
          <w:trHeight w:val="70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Default="0053661B" w:rsidP="00B02353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с. Карагали, ул. К. Маркса. 20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Default="0053661B" w:rsidP="007A644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Default="0053661B" w:rsidP="00B023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30:09:130313:205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Pr="005560F7" w:rsidRDefault="0053661B" w:rsidP="00104B09">
            <w:pPr>
              <w:pStyle w:val="a3"/>
              <w:ind w:left="0"/>
              <w:jc w:val="center"/>
              <w:rPr>
                <w:b/>
                <w:sz w:val="22"/>
                <w:szCs w:val="22"/>
                <w:highlight w:val="red"/>
                <w:u w:val="single"/>
              </w:rPr>
            </w:pPr>
            <w:r w:rsidRPr="005560F7">
              <w:rPr>
                <w:b/>
                <w:sz w:val="22"/>
                <w:szCs w:val="22"/>
                <w:highlight w:val="red"/>
              </w:rPr>
              <w:t>210391,97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Pr="005560F7" w:rsidRDefault="0053661B" w:rsidP="00711B43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5560F7">
              <w:rPr>
                <w:b/>
                <w:sz w:val="22"/>
                <w:szCs w:val="22"/>
                <w:highlight w:val="red"/>
              </w:rPr>
              <w:t>42079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B" w:rsidRPr="005560F7" w:rsidRDefault="0053661B" w:rsidP="00711B43">
            <w:pPr>
              <w:jc w:val="center"/>
              <w:rPr>
                <w:b/>
                <w:sz w:val="22"/>
                <w:szCs w:val="22"/>
              </w:rPr>
            </w:pPr>
            <w:r w:rsidRPr="005560F7">
              <w:rPr>
                <w:b/>
                <w:sz w:val="22"/>
                <w:szCs w:val="22"/>
                <w:highlight w:val="red"/>
              </w:rPr>
              <w:t>6312</w:t>
            </w:r>
          </w:p>
        </w:tc>
      </w:tr>
    </w:tbl>
    <w:p w:rsidR="00B036A8" w:rsidRPr="00893BA2" w:rsidRDefault="00507802" w:rsidP="007A54CC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93BA2" w:rsidRPr="00893BA2" w:rsidRDefault="00893BA2" w:rsidP="00893BA2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93BA2">
        <w:rPr>
          <w:rFonts w:ascii="Times New Roman" w:hAnsi="Times New Roman" w:cs="Times New Roman"/>
          <w:b/>
          <w:u w:val="single"/>
        </w:rPr>
        <w:t>Сведения о правах и ограничениях (обременениях)</w:t>
      </w:r>
    </w:p>
    <w:p w:rsidR="00893BA2" w:rsidRPr="00893BA2" w:rsidRDefault="00893BA2" w:rsidP="00893BA2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93BA2">
        <w:rPr>
          <w:rFonts w:ascii="Times New Roman" w:hAnsi="Times New Roman" w:cs="Times New Roman"/>
          <w:b/>
          <w:u w:val="single"/>
        </w:rPr>
        <w:t>Ограничение прав и обременение объекта недвижимости</w:t>
      </w:r>
    </w:p>
    <w:p w:rsidR="008C746F" w:rsidRDefault="008C746F" w:rsidP="00CB466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Лот № 1: </w:t>
      </w:r>
      <w:r w:rsidRPr="00CB466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</w:t>
      </w:r>
      <w:r>
        <w:rPr>
          <w:rFonts w:ascii="Times New Roman" w:hAnsi="Times New Roman" w:cs="Times New Roman"/>
        </w:rPr>
        <w:t>го кодекса Российской Федерации</w:t>
      </w:r>
      <w:r w:rsidRPr="00CB4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05.07.2021</w:t>
      </w:r>
    </w:p>
    <w:p w:rsidR="008C746F" w:rsidRDefault="008C746F" w:rsidP="00CB4667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2: </w:t>
      </w:r>
      <w:r w:rsidRPr="00CB466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</w:t>
      </w:r>
      <w:r>
        <w:rPr>
          <w:rFonts w:ascii="Times New Roman" w:hAnsi="Times New Roman" w:cs="Times New Roman"/>
        </w:rPr>
        <w:t>го кодекса Российской Федерации</w:t>
      </w:r>
      <w:r w:rsidRPr="00CB4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05.07.2021</w:t>
      </w:r>
    </w:p>
    <w:p w:rsidR="00CB4667" w:rsidRDefault="00FA6FD8" w:rsidP="00CB466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Лот № 8</w:t>
      </w:r>
      <w:r w:rsidR="0042353B" w:rsidRPr="0042353B">
        <w:rPr>
          <w:rFonts w:ascii="Times New Roman" w:hAnsi="Times New Roman" w:cs="Times New Roman"/>
          <w:b/>
          <w:u w:val="single"/>
        </w:rPr>
        <w:t>:</w:t>
      </w:r>
      <w:r w:rsidR="0042353B">
        <w:rPr>
          <w:rFonts w:ascii="Times New Roman" w:hAnsi="Times New Roman" w:cs="Times New Roman"/>
        </w:rPr>
        <w:t xml:space="preserve"> </w:t>
      </w:r>
      <w:r w:rsidR="00CB4667" w:rsidRPr="00CB466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</w:t>
      </w:r>
      <w:r w:rsidR="00CB4667">
        <w:rPr>
          <w:rFonts w:ascii="Times New Roman" w:hAnsi="Times New Roman" w:cs="Times New Roman"/>
        </w:rPr>
        <w:t>го кодекса Российской Федерации</w:t>
      </w:r>
      <w:r w:rsidR="00CB4667" w:rsidRPr="00CB4667">
        <w:rPr>
          <w:rFonts w:ascii="Times New Roman" w:hAnsi="Times New Roman" w:cs="Times New Roman"/>
        </w:rPr>
        <w:t xml:space="preserve"> </w:t>
      </w:r>
      <w:r w:rsidR="00CB4667">
        <w:rPr>
          <w:rFonts w:ascii="Times New Roman" w:hAnsi="Times New Roman" w:cs="Times New Roman"/>
        </w:rPr>
        <w:t>от 20.01.2020</w:t>
      </w:r>
    </w:p>
    <w:p w:rsidR="00CB4667" w:rsidRPr="00CB4667" w:rsidRDefault="00CB4667" w:rsidP="00CB466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CB466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</w:t>
      </w:r>
      <w:r>
        <w:rPr>
          <w:rFonts w:ascii="Times New Roman" w:hAnsi="Times New Roman" w:cs="Times New Roman"/>
        </w:rPr>
        <w:t>го кодекса Российской Федерации</w:t>
      </w:r>
      <w:r w:rsidRPr="00CB4667">
        <w:rPr>
          <w:rFonts w:ascii="Times New Roman" w:hAnsi="Times New Roman" w:cs="Times New Roman"/>
        </w:rPr>
        <w:t xml:space="preserve"> от 06.09.2022</w:t>
      </w:r>
    </w:p>
    <w:p w:rsidR="0042353B" w:rsidRPr="00893BA2" w:rsidRDefault="00CB4667" w:rsidP="00CB466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CB4667">
        <w:rPr>
          <w:rFonts w:ascii="Times New Roman" w:hAnsi="Times New Roman" w:cs="Times New Roman"/>
        </w:rPr>
        <w:lastRenderedPageBreak/>
        <w:t>Ограничения прав на земельный участок, предусмотренные статьей 56 Земельно</w:t>
      </w:r>
      <w:r>
        <w:rPr>
          <w:rFonts w:ascii="Times New Roman" w:hAnsi="Times New Roman" w:cs="Times New Roman"/>
        </w:rPr>
        <w:t>го кодекса Российской Федерации</w:t>
      </w:r>
      <w:r w:rsidRPr="00CB4667">
        <w:rPr>
          <w:rFonts w:ascii="Times New Roman" w:hAnsi="Times New Roman" w:cs="Times New Roman"/>
        </w:rPr>
        <w:t xml:space="preserve"> от 12.10.2022</w:t>
      </w:r>
    </w:p>
    <w:p w:rsidR="003D3BE7" w:rsidRPr="003D3BE7" w:rsidRDefault="003D3BE7" w:rsidP="003D3BE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D3BE7">
        <w:rPr>
          <w:rFonts w:ascii="Times New Roman" w:hAnsi="Times New Roman" w:cs="Times New Roman"/>
          <w:b/>
        </w:rPr>
        <w:t xml:space="preserve">Лот № </w:t>
      </w:r>
      <w:r w:rsidR="000455FF">
        <w:rPr>
          <w:rFonts w:ascii="Times New Roman" w:hAnsi="Times New Roman" w:cs="Times New Roman"/>
          <w:b/>
        </w:rPr>
        <w:t>9</w:t>
      </w:r>
      <w:r w:rsidRPr="003D3BE7">
        <w:rPr>
          <w:rFonts w:ascii="Times New Roman" w:hAnsi="Times New Roman" w:cs="Times New Roman"/>
          <w:b/>
        </w:rPr>
        <w:t>:</w:t>
      </w:r>
      <w:r w:rsidRPr="003D3BE7">
        <w:rPr>
          <w:rFonts w:ascii="Arial" w:eastAsia="Times New Roman" w:hAnsi="Arial" w:cs="Arial"/>
          <w:color w:val="292C2F"/>
          <w:sz w:val="24"/>
          <w:szCs w:val="24"/>
        </w:rPr>
        <w:t xml:space="preserve"> </w:t>
      </w:r>
      <w:r w:rsidRPr="003D3BE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3D3BE7">
        <w:rPr>
          <w:rFonts w:ascii="Times New Roman" w:hAnsi="Times New Roman" w:cs="Times New Roman"/>
        </w:rPr>
        <w:t>от 13.03.2023</w:t>
      </w:r>
    </w:p>
    <w:p w:rsidR="003D3BE7" w:rsidRDefault="0053661B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D3BE7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30</w:t>
      </w:r>
      <w:r w:rsidRPr="003D3BE7">
        <w:rPr>
          <w:rFonts w:ascii="Times New Roman" w:hAnsi="Times New Roman" w:cs="Times New Roman"/>
          <w:b/>
        </w:rPr>
        <w:t>:</w:t>
      </w:r>
      <w:r w:rsidRPr="003D3BE7">
        <w:rPr>
          <w:rFonts w:ascii="Arial" w:eastAsia="Times New Roman" w:hAnsi="Arial" w:cs="Arial"/>
          <w:color w:val="292C2F"/>
          <w:sz w:val="24"/>
          <w:szCs w:val="24"/>
        </w:rPr>
        <w:t xml:space="preserve"> </w:t>
      </w:r>
      <w:r w:rsidRPr="003D3BE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3D3B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20.02.2016</w:t>
      </w:r>
    </w:p>
    <w:p w:rsidR="0053661B" w:rsidRPr="003D3BE7" w:rsidRDefault="0053661B" w:rsidP="009F11CE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3D3BE7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3D3B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15.07.2022</w:t>
      </w:r>
    </w:p>
    <w:p w:rsidR="0001718F" w:rsidRDefault="00104B09" w:rsidP="0004277D">
      <w:pPr>
        <w:ind w:firstLine="540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0D2B09" w:rsidRPr="00893BA2">
        <w:rPr>
          <w:rFonts w:ascii="Times New Roman" w:hAnsi="Times New Roman" w:cs="Times New Roman"/>
        </w:rPr>
        <w:t>МО «</w:t>
      </w:r>
      <w:r w:rsidR="0035719B" w:rsidRPr="00893BA2">
        <w:rPr>
          <w:rFonts w:ascii="Times New Roman" w:hAnsi="Times New Roman" w:cs="Times New Roman"/>
        </w:rPr>
        <w:t>село Карагали</w:t>
      </w:r>
      <w:r w:rsidR="001131A0" w:rsidRPr="00893BA2">
        <w:rPr>
          <w:rFonts w:ascii="Times New Roman" w:hAnsi="Times New Roman" w:cs="Times New Roman"/>
        </w:rPr>
        <w:t>»,</w:t>
      </w:r>
      <w:r w:rsidR="00B036A8" w:rsidRPr="00893BA2">
        <w:rPr>
          <w:rFonts w:ascii="Times New Roman" w:hAnsi="Times New Roman" w:cs="Times New Roman"/>
        </w:rPr>
        <w:t xml:space="preserve"> </w:t>
      </w:r>
      <w:r w:rsidR="00F83B35" w:rsidRPr="00893BA2">
        <w:rPr>
          <w:rFonts w:ascii="Times New Roman" w:hAnsi="Times New Roman" w:cs="Times New Roman"/>
        </w:rPr>
        <w:t xml:space="preserve">МО «Началовский сельсовет», </w:t>
      </w:r>
      <w:r w:rsidR="0053661B">
        <w:rPr>
          <w:rFonts w:ascii="Times New Roman" w:hAnsi="Times New Roman" w:cs="Times New Roman"/>
        </w:rPr>
        <w:t xml:space="preserve">МО «Татаробашмаковский сельсовет», МО «Яксатовский сельсовет», МО «Бирюковский сельсовет», МО Трехпротокский сельсовет», МО «Килинчинский сельсовет», МО «село Растопуловка», МО «село Осыпной Бугор», Мо «Фунтовский сельсовет» </w:t>
      </w:r>
      <w:r w:rsidR="0089255B" w:rsidRPr="00893BA2">
        <w:rPr>
          <w:rFonts w:ascii="Times New Roman" w:hAnsi="Times New Roman" w:cs="Times New Roman"/>
        </w:rPr>
        <w:t xml:space="preserve">Приволжского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560BB5" w:rsidRPr="008A495B" w:rsidRDefault="00560BB5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hAnsi="Times New Roman" w:cs="Times New Roman"/>
          <w:b/>
        </w:rPr>
        <w:t>МО «село Карагали»</w:t>
      </w:r>
      <w:r w:rsidR="00C22BE5" w:rsidRPr="00C22BE5">
        <w:rPr>
          <w:rFonts w:ascii="Times New Roman" w:eastAsia="Times New Roman" w:hAnsi="Times New Roman" w:cs="Times New Roman"/>
          <w:b/>
          <w:lang w:eastAsia="ar-SA"/>
        </w:rPr>
        <w:t xml:space="preserve"> Параметры застройки: </w:t>
      </w:r>
    </w:p>
    <w:p w:rsidR="00560BB5" w:rsidRPr="00C22BE5" w:rsidRDefault="00560BB5" w:rsidP="00560BB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hAnsi="Times New Roman" w:cs="Times New Roman"/>
        </w:rPr>
        <w:t>Максимальная площадь земельных участков:</w:t>
      </w:r>
    </w:p>
    <w:p w:rsidR="00560BB5" w:rsidRPr="00C22BE5" w:rsidRDefault="00560BB5" w:rsidP="00560BB5">
      <w:pPr>
        <w:pStyle w:val="a3"/>
        <w:widowControl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C22BE5">
        <w:rPr>
          <w:sz w:val="22"/>
          <w:szCs w:val="22"/>
        </w:rPr>
        <w:t>для</w:t>
      </w:r>
      <w:proofErr w:type="gramEnd"/>
      <w:r w:rsidRPr="00C22BE5">
        <w:rPr>
          <w:sz w:val="22"/>
          <w:szCs w:val="22"/>
        </w:rPr>
        <w:t xml:space="preserve"> ведения личного подсобного хозяйства – 0,2 га;</w:t>
      </w:r>
    </w:p>
    <w:p w:rsidR="00560BB5" w:rsidRPr="00C22BE5" w:rsidRDefault="00560BB5" w:rsidP="00560BB5">
      <w:pPr>
        <w:pStyle w:val="a3"/>
        <w:widowControl/>
        <w:numPr>
          <w:ilvl w:val="0"/>
          <w:numId w:val="7"/>
        </w:numPr>
        <w:suppressAutoHyphens/>
        <w:overflowPunct/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C22BE5">
        <w:rPr>
          <w:sz w:val="22"/>
          <w:szCs w:val="22"/>
        </w:rPr>
        <w:t>для</w:t>
      </w:r>
      <w:proofErr w:type="gramEnd"/>
      <w:r w:rsidRPr="00C22BE5">
        <w:rPr>
          <w:sz w:val="22"/>
          <w:szCs w:val="22"/>
        </w:rPr>
        <w:t xml:space="preserve"> индивидуального жилищного строительства – 0,12 га.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560BB5" w:rsidRPr="00C22BE5" w:rsidRDefault="00560BB5" w:rsidP="00560BB5">
      <w:pPr>
        <w:pStyle w:val="a3"/>
        <w:widowControl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C22BE5">
        <w:rPr>
          <w:sz w:val="22"/>
          <w:szCs w:val="22"/>
        </w:rPr>
        <w:t>для</w:t>
      </w:r>
      <w:proofErr w:type="gramEnd"/>
      <w:r w:rsidRPr="00C22BE5">
        <w:rPr>
          <w:sz w:val="22"/>
          <w:szCs w:val="22"/>
        </w:rPr>
        <w:t xml:space="preserve"> ведения личного подсобного хозяйства – 0,03 га</w:t>
      </w:r>
    </w:p>
    <w:p w:rsidR="00560BB5" w:rsidRPr="00C22BE5" w:rsidRDefault="00560BB5" w:rsidP="00560BB5">
      <w:pPr>
        <w:pStyle w:val="a3"/>
        <w:widowControl/>
        <w:numPr>
          <w:ilvl w:val="0"/>
          <w:numId w:val="8"/>
        </w:numPr>
        <w:suppressAutoHyphens/>
        <w:overflowPunct/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C22BE5">
        <w:rPr>
          <w:sz w:val="22"/>
          <w:szCs w:val="22"/>
        </w:rPr>
        <w:t>для</w:t>
      </w:r>
      <w:proofErr w:type="gramEnd"/>
      <w:r w:rsidRPr="00C22BE5">
        <w:rPr>
          <w:sz w:val="22"/>
          <w:szCs w:val="22"/>
        </w:rPr>
        <w:t xml:space="preserve"> индивидуального жилищного строительства – 0,03 га.</w:t>
      </w:r>
    </w:p>
    <w:p w:rsidR="00560BB5" w:rsidRPr="00C22BE5" w:rsidRDefault="00560BB5" w:rsidP="00560BB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60BB5" w:rsidRPr="00C22BE5" w:rsidRDefault="00560BB5" w:rsidP="00560BB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hAnsi="Times New Roman" w:cs="Times New Roman"/>
        </w:rPr>
        <w:t>Предельная высота зданий: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hAnsi="Times New Roman" w:cs="Times New Roman"/>
        </w:rPr>
        <w:t>-</w:t>
      </w:r>
      <w:r w:rsidRPr="00C22BE5">
        <w:rPr>
          <w:rFonts w:ascii="Times New Roman" w:hAnsi="Times New Roman" w:cs="Times New Roman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hAnsi="Times New Roman" w:cs="Times New Roman"/>
        </w:rPr>
        <w:t>-</w:t>
      </w:r>
      <w:r w:rsidRPr="00C22BE5">
        <w:rPr>
          <w:rFonts w:ascii="Times New Roman" w:hAnsi="Times New Roman" w:cs="Times New Roman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60BB5" w:rsidRPr="00C22BE5" w:rsidRDefault="00560BB5" w:rsidP="00560BB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hAnsi="Times New Roman" w:cs="Times New Roman"/>
        </w:rPr>
        <w:t>-</w:t>
      </w:r>
      <w:r w:rsidRPr="00C22BE5">
        <w:rPr>
          <w:rFonts w:ascii="Times New Roman" w:hAnsi="Times New Roman" w:cs="Times New Roman"/>
        </w:rPr>
        <w:tab/>
        <w:t>исключение: шпили, башни, флагштоки – без ограничения.</w:t>
      </w:r>
    </w:p>
    <w:p w:rsidR="00560BB5" w:rsidRPr="00C22BE5" w:rsidRDefault="00560BB5" w:rsidP="00560BB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8A495B" w:rsidRDefault="00560BB5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C22BE5" w:rsidRPr="00C22BE5" w:rsidRDefault="00C22BE5" w:rsidP="008A495B">
      <w:pPr>
        <w:suppressAutoHyphens/>
        <w:spacing w:after="0"/>
        <w:ind w:left="567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МО</w:t>
      </w:r>
      <w:r w:rsidRPr="00C22BE5">
        <w:rPr>
          <w:rFonts w:ascii="Times New Roman" w:eastAsia="Calibri" w:hAnsi="Times New Roman" w:cs="Times New Roman"/>
          <w:b/>
          <w:lang w:eastAsia="en-US"/>
        </w:rPr>
        <w:t xml:space="preserve"> Началовский сельсовет» Параметры застройки: </w:t>
      </w:r>
    </w:p>
    <w:p w:rsidR="00C22BE5" w:rsidRPr="00C22BE5" w:rsidRDefault="00C22BE5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C22BE5" w:rsidRPr="00C22BE5" w:rsidRDefault="00C22BE5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C22BE5" w:rsidRPr="00C22BE5" w:rsidRDefault="00C22BE5" w:rsidP="00C22B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C22BE5" w:rsidRPr="00C22BE5" w:rsidRDefault="00C22BE5" w:rsidP="00C22B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C22BE5" w:rsidRPr="00C22BE5" w:rsidRDefault="00C22BE5" w:rsidP="00C22B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C22BE5" w:rsidRPr="00C22BE5" w:rsidRDefault="00C22BE5" w:rsidP="00C22B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C22BE5" w:rsidRPr="00C22BE5" w:rsidRDefault="00C22BE5" w:rsidP="00C22BE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C22BE5" w:rsidRPr="00C22BE5" w:rsidRDefault="00C22BE5" w:rsidP="00C22BE5">
      <w:pPr>
        <w:ind w:left="567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СНиП 2.07.01-89* «Градостроительство. Планировка и застройка городских и сельских поселений». 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C22BE5" w:rsidRPr="00C22BE5" w:rsidRDefault="00C22BE5" w:rsidP="00C22BE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C22BE5" w:rsidRPr="00C22BE5" w:rsidRDefault="00C22BE5" w:rsidP="00C22BE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C22BE5" w:rsidRPr="00C22BE5" w:rsidRDefault="00C22BE5" w:rsidP="00C22BE5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C22BE5" w:rsidRPr="00C22BE5" w:rsidRDefault="00C22BE5" w:rsidP="00C22BE5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C22BE5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C22BE5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C22BE5" w:rsidRPr="00C22BE5" w:rsidRDefault="00C22BE5" w:rsidP="00C22BE5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C22BE5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22BE5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C22BE5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C22BE5" w:rsidRPr="00C22BE5" w:rsidRDefault="00C22BE5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893BA2" w:rsidRPr="00C22BE5" w:rsidRDefault="00893BA2" w:rsidP="00C22B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 xml:space="preserve">МО «село </w:t>
      </w:r>
      <w:r w:rsidR="00D63EF1" w:rsidRPr="00C22BE5">
        <w:rPr>
          <w:rFonts w:ascii="Times New Roman" w:eastAsia="Times New Roman" w:hAnsi="Times New Roman" w:cs="Times New Roman"/>
          <w:b/>
          <w:lang w:eastAsia="ar-SA"/>
        </w:rPr>
        <w:t>Осыпной Бугор</w:t>
      </w:r>
      <w:r w:rsidRPr="00C22BE5">
        <w:rPr>
          <w:rFonts w:ascii="Times New Roman" w:eastAsia="Times New Roman" w:hAnsi="Times New Roman" w:cs="Times New Roman"/>
          <w:b/>
          <w:lang w:eastAsia="ar-SA"/>
        </w:rPr>
        <w:t>»</w:t>
      </w:r>
      <w:r w:rsidR="00C22BE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22BE5" w:rsidRPr="00C22BE5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D63EF1" w:rsidRPr="00C22BE5" w:rsidRDefault="00D63EF1" w:rsidP="00D63E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D63EF1" w:rsidRPr="00C22BE5" w:rsidRDefault="00D63EF1" w:rsidP="00D63EF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D63EF1" w:rsidRPr="00C22BE5" w:rsidRDefault="00D63EF1" w:rsidP="00D63EF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D63EF1" w:rsidRPr="00C22BE5" w:rsidRDefault="00D63EF1" w:rsidP="00D63EF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="00560BB5" w:rsidRPr="00C22BE5">
        <w:rPr>
          <w:rFonts w:ascii="Times New Roman" w:eastAsia="Times New Roman" w:hAnsi="Times New Roman" w:cs="Times New Roman"/>
          <w:lang w:eastAsia="ar-SA"/>
        </w:rPr>
        <w:t>– 5</w:t>
      </w:r>
      <w:r w:rsidRPr="00C22BE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8A495B" w:rsidRPr="00C22BE5">
        <w:rPr>
          <w:rFonts w:ascii="Times New Roman" w:eastAsia="Times New Roman" w:hAnsi="Times New Roman" w:cs="Times New Roman"/>
          <w:lang w:eastAsia="ar-SA"/>
        </w:rPr>
        <w:t>», СНиП</w:t>
      </w:r>
      <w:r w:rsidRPr="00C22BE5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D63EF1" w:rsidRPr="00C22BE5" w:rsidRDefault="00D63EF1" w:rsidP="00D63EF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C22BE5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D63EF1" w:rsidRPr="00C22BE5" w:rsidRDefault="00D63EF1" w:rsidP="00D63EF1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Для объектов нежилого назначения и торгового назначения о</w:t>
      </w:r>
      <w:r w:rsidRPr="00C22BE5">
        <w:rPr>
          <w:rFonts w:ascii="Times New Roman" w:eastAsia="Calibri" w:hAnsi="Times New Roman" w:cs="Times New Roman"/>
          <w:bCs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22BE5">
        <w:rPr>
          <w:rFonts w:ascii="Times New Roman" w:eastAsia="Calibri" w:hAnsi="Times New Roman" w:cs="Times New Roman"/>
          <w:bCs/>
          <w:lang w:eastAsia="en-US"/>
        </w:rPr>
        <w:t>безбарьерных</w:t>
      </w:r>
      <w:proofErr w:type="spellEnd"/>
      <w:r w:rsidRPr="00C22BE5">
        <w:rPr>
          <w:rFonts w:ascii="Times New Roman" w:eastAsia="Calibri" w:hAnsi="Times New Roman" w:cs="Times New Roman"/>
          <w:bCs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EA3431" w:rsidRPr="00C22BE5" w:rsidRDefault="00EA3431" w:rsidP="008C7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93BA2" w:rsidRPr="00C22BE5" w:rsidRDefault="00893BA2" w:rsidP="00C22B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EA3431" w:rsidRPr="00C22BE5">
        <w:rPr>
          <w:rFonts w:ascii="Times New Roman" w:eastAsia="Times New Roman" w:hAnsi="Times New Roman" w:cs="Times New Roman"/>
          <w:b/>
          <w:lang w:eastAsia="ar-SA"/>
        </w:rPr>
        <w:t>«Килинчинский сельсовет»</w:t>
      </w:r>
      <w:r w:rsidR="00C22BE5" w:rsidRPr="00C22BE5">
        <w:rPr>
          <w:rFonts w:ascii="Times New Roman" w:eastAsia="Times New Roman" w:hAnsi="Times New Roman" w:cs="Times New Roman"/>
          <w:b/>
          <w:lang w:eastAsia="ar-SA"/>
        </w:rPr>
        <w:t xml:space="preserve"> Параметры застройки: </w:t>
      </w:r>
    </w:p>
    <w:p w:rsidR="00CB4667" w:rsidRPr="00C22BE5" w:rsidRDefault="00CB4667" w:rsidP="00C22B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CB4667" w:rsidRPr="00C22BE5" w:rsidRDefault="00CB4667" w:rsidP="00C22BE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CB4667" w:rsidRPr="00C22BE5" w:rsidRDefault="00CB4667" w:rsidP="00CB46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CB4667" w:rsidRPr="00C22BE5" w:rsidRDefault="00CB4667" w:rsidP="00CB466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CB4667" w:rsidRPr="00C22BE5" w:rsidRDefault="00CB4667" w:rsidP="00CB466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CB4667" w:rsidRPr="00C22BE5" w:rsidRDefault="00CB4667" w:rsidP="00CB466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CB4667" w:rsidRPr="00C22BE5" w:rsidRDefault="00CB4667" w:rsidP="00CB466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="008C746F" w:rsidRPr="00C22BE5">
        <w:rPr>
          <w:rFonts w:ascii="Times New Roman" w:eastAsia="Times New Roman" w:hAnsi="Times New Roman" w:cs="Times New Roman"/>
          <w:lang w:eastAsia="ar-SA"/>
        </w:rPr>
        <w:t>– 5</w:t>
      </w:r>
      <w:r w:rsidRPr="00C22BE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CB4667" w:rsidRPr="00C22BE5" w:rsidRDefault="00CB4667" w:rsidP="00CB466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CB4667" w:rsidRPr="00C22BE5" w:rsidRDefault="00CB4667" w:rsidP="00CB466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CB4667" w:rsidRPr="00C22BE5" w:rsidRDefault="00CB4667" w:rsidP="00CB466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CB4667" w:rsidRPr="00C22BE5" w:rsidRDefault="00CB4667" w:rsidP="00CB466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CB4667" w:rsidRPr="00C22BE5" w:rsidRDefault="00CB4667" w:rsidP="00CB46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8C746F" w:rsidRPr="00C22BE5" w:rsidRDefault="00CB4667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560BB5" w:rsidRPr="00C22BE5">
        <w:rPr>
          <w:rFonts w:ascii="Times New Roman" w:eastAsia="Times New Roman" w:hAnsi="Times New Roman" w:cs="Times New Roman"/>
          <w:b/>
          <w:lang w:eastAsia="ar-SA"/>
        </w:rPr>
        <w:t>«село</w:t>
      </w:r>
      <w:r w:rsidRPr="00C22BE5">
        <w:rPr>
          <w:rFonts w:ascii="Times New Roman" w:eastAsia="Times New Roman" w:hAnsi="Times New Roman" w:cs="Times New Roman"/>
          <w:b/>
          <w:lang w:eastAsia="ar-SA"/>
        </w:rPr>
        <w:t xml:space="preserve"> Растопуловка»</w:t>
      </w:r>
      <w:r w:rsidR="00C22BE5" w:rsidRPr="00C22BE5">
        <w:rPr>
          <w:rFonts w:ascii="Times New Roman" w:eastAsia="Times New Roman" w:hAnsi="Times New Roman" w:cs="Times New Roman"/>
          <w:b/>
          <w:lang w:eastAsia="ar-SA"/>
        </w:rPr>
        <w:t xml:space="preserve"> Параметры застройки:</w:t>
      </w:r>
    </w:p>
    <w:p w:rsidR="003D3BE7" w:rsidRPr="00C22BE5" w:rsidRDefault="003D3BE7" w:rsidP="008C74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3D3BE7" w:rsidRPr="00C22BE5" w:rsidRDefault="003D3BE7" w:rsidP="003D3BE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3D3BE7" w:rsidRPr="00C22BE5" w:rsidRDefault="003D3BE7" w:rsidP="003D3BE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3D3BE7" w:rsidRPr="00C22BE5" w:rsidRDefault="003D3BE7" w:rsidP="003D3BE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3D3BE7" w:rsidRPr="00C22BE5" w:rsidRDefault="003D3BE7" w:rsidP="003D3BE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C22BE5">
        <w:rPr>
          <w:rFonts w:ascii="Times New Roman" w:eastAsia="Times New Roman" w:hAnsi="Times New Roman" w:cs="Times New Roman"/>
          <w:color w:val="FF0000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8C746F" w:rsidRPr="00C22BE5">
        <w:rPr>
          <w:rFonts w:ascii="Times New Roman" w:eastAsia="Times New Roman" w:hAnsi="Times New Roman" w:cs="Times New Roman"/>
          <w:color w:val="FF0000"/>
          <w:lang w:eastAsia="ar-SA"/>
        </w:rPr>
        <w:t>», СНиП</w:t>
      </w:r>
      <w:r w:rsidRPr="00C22BE5">
        <w:rPr>
          <w:rFonts w:ascii="Times New Roman" w:eastAsia="Times New Roman" w:hAnsi="Times New Roman" w:cs="Times New Roman"/>
          <w:color w:val="FF0000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3D3BE7" w:rsidRPr="00C22BE5" w:rsidRDefault="003D3BE7" w:rsidP="003D3BE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color w:val="FF0000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C22BE5">
        <w:rPr>
          <w:rFonts w:ascii="Times New Roman" w:eastAsia="Calibri" w:hAnsi="Times New Roman" w:cs="Times New Roman"/>
          <w:color w:val="FF0000"/>
          <w:spacing w:val="-4"/>
          <w:lang w:eastAsia="en-US"/>
        </w:rPr>
        <w:t>.</w:t>
      </w:r>
    </w:p>
    <w:p w:rsidR="003D3BE7" w:rsidRPr="00C22BE5" w:rsidRDefault="003D3BE7" w:rsidP="003D3BE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color w:val="FF0000"/>
          <w:lang w:eastAsia="en-US"/>
        </w:rPr>
        <w:t>Для объектов нежилого назначения и торгового назначения о</w:t>
      </w:r>
      <w:r w:rsidRPr="00C22BE5">
        <w:rPr>
          <w:rFonts w:ascii="Times New Roman" w:eastAsia="Calibri" w:hAnsi="Times New Roman" w:cs="Times New Roman"/>
          <w:bCs/>
          <w:color w:val="FF0000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22BE5">
        <w:rPr>
          <w:rFonts w:ascii="Times New Roman" w:eastAsia="Calibri" w:hAnsi="Times New Roman" w:cs="Times New Roman"/>
          <w:bCs/>
          <w:color w:val="FF0000"/>
          <w:lang w:eastAsia="en-US"/>
        </w:rPr>
        <w:t>безбарьерных</w:t>
      </w:r>
      <w:proofErr w:type="spellEnd"/>
      <w:r w:rsidRPr="00C22BE5">
        <w:rPr>
          <w:rFonts w:ascii="Times New Roman" w:eastAsia="Calibri" w:hAnsi="Times New Roman" w:cs="Times New Roman"/>
          <w:bCs/>
          <w:color w:val="FF0000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3D3BE7" w:rsidRPr="00C22BE5" w:rsidRDefault="003D3BE7" w:rsidP="003D3BE7">
      <w:pPr>
        <w:suppressAutoHyphens/>
        <w:spacing w:after="0" w:line="240" w:lineRule="auto"/>
        <w:ind w:left="20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3D3BE7" w:rsidRPr="00C22BE5" w:rsidRDefault="00E878FD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МО «Трехпротокский сельсовет»</w:t>
      </w:r>
      <w:r w:rsidR="00C22BE5" w:rsidRPr="00C22BE5">
        <w:rPr>
          <w:rFonts w:ascii="Times New Roman" w:eastAsia="Times New Roman" w:hAnsi="Times New Roman" w:cs="Times New Roman"/>
          <w:b/>
          <w:lang w:eastAsia="ar-SA"/>
        </w:rPr>
        <w:t xml:space="preserve"> Параметры застройки:</w:t>
      </w:r>
    </w:p>
    <w:p w:rsidR="00E878FD" w:rsidRPr="00C22BE5" w:rsidRDefault="00E878FD" w:rsidP="008C74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E878FD" w:rsidRPr="00C22BE5" w:rsidRDefault="00E878FD" w:rsidP="00E878F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E878FD" w:rsidRPr="00C22BE5" w:rsidRDefault="00E878FD" w:rsidP="00E878F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E878FD" w:rsidRPr="00C22BE5" w:rsidRDefault="00E878FD" w:rsidP="00E878F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E878FD" w:rsidRPr="00C22BE5" w:rsidRDefault="00E878FD" w:rsidP="00E878F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22BE5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C22BE5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E878FD" w:rsidRPr="00C22BE5" w:rsidRDefault="00E878FD" w:rsidP="00E878FD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r w:rsidR="008C746F" w:rsidRPr="00C22BE5">
        <w:rPr>
          <w:rFonts w:ascii="Times New Roman" w:eastAsia="Times New Roman" w:hAnsi="Times New Roman" w:cs="Times New Roman"/>
          <w:lang w:eastAsia="ar-SA"/>
        </w:rPr>
        <w:t>– 5</w:t>
      </w:r>
      <w:r w:rsidRPr="00C22BE5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22BE5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FA6FD8" w:rsidRPr="00C22BE5">
        <w:rPr>
          <w:rFonts w:ascii="Times New Roman" w:eastAsia="Times New Roman" w:hAnsi="Times New Roman" w:cs="Times New Roman"/>
          <w:lang w:eastAsia="ar-SA"/>
        </w:rPr>
        <w:t>», СНиП</w:t>
      </w:r>
      <w:r w:rsidRPr="00C22BE5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878FD" w:rsidRPr="00C22BE5" w:rsidRDefault="00E878FD" w:rsidP="00E878FD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878FD" w:rsidRPr="00C22BE5" w:rsidRDefault="00E878FD" w:rsidP="00E878F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Calibri" w:hAnsi="Times New Roman" w:cs="Times New Roman"/>
          <w:lang w:eastAsia="en-US"/>
        </w:rPr>
        <w:t>-</w:t>
      </w:r>
      <w:r w:rsidRPr="00C22BE5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E878FD" w:rsidRPr="00C22BE5" w:rsidRDefault="00E878FD" w:rsidP="00E878FD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E878FD" w:rsidRPr="00C22BE5" w:rsidRDefault="00E878FD" w:rsidP="00E878FD">
      <w:pPr>
        <w:numPr>
          <w:ilvl w:val="0"/>
          <w:numId w:val="22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E878FD" w:rsidRPr="00C22BE5" w:rsidRDefault="00E878FD" w:rsidP="00E878FD">
      <w:pPr>
        <w:numPr>
          <w:ilvl w:val="0"/>
          <w:numId w:val="22"/>
        </w:numPr>
        <w:suppressAutoHyphens/>
        <w:spacing w:after="0" w:line="272" w:lineRule="exact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C22BE5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C22BE5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E878FD" w:rsidRPr="00C22BE5" w:rsidRDefault="00E878FD" w:rsidP="00E878FD">
      <w:pPr>
        <w:widowControl w:val="0"/>
        <w:numPr>
          <w:ilvl w:val="0"/>
          <w:numId w:val="22"/>
        </w:numPr>
        <w:spacing w:after="0" w:line="272" w:lineRule="exact"/>
        <w:jc w:val="both"/>
        <w:rPr>
          <w:rFonts w:ascii="Times New Roman" w:eastAsia="Arial" w:hAnsi="Times New Roman" w:cs="Times New Roman"/>
          <w:bCs/>
          <w:i/>
          <w:lang w:eastAsia="ar-SA"/>
        </w:rPr>
      </w:pPr>
      <w:r w:rsidRPr="00C22BE5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C22BE5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22BE5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C22BE5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C22BE5" w:rsidRPr="00C22BE5" w:rsidRDefault="00C22BE5" w:rsidP="00C22BE5">
      <w:pPr>
        <w:widowControl w:val="0"/>
        <w:spacing w:after="0" w:line="272" w:lineRule="exact"/>
        <w:ind w:left="644"/>
        <w:jc w:val="both"/>
        <w:rPr>
          <w:rFonts w:ascii="Times New Roman" w:eastAsia="Arial" w:hAnsi="Times New Roman" w:cs="Times New Roman"/>
          <w:bCs/>
          <w:i/>
          <w:lang w:eastAsia="ar-SA"/>
        </w:rPr>
      </w:pPr>
    </w:p>
    <w:p w:rsidR="008A495B" w:rsidRPr="008A495B" w:rsidRDefault="008A495B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«Татаробашмаковский сельсовет» </w:t>
      </w: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A495B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A495B" w:rsidRPr="008A495B" w:rsidRDefault="008A495B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4873922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«Яксатовский сельсовет» </w:t>
      </w: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СНиП 2.07.01-89* «Градостроительство. Планировка и застройка городских и сельских поселений».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A495B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  <w:bookmarkEnd w:id="1"/>
    </w:p>
    <w:p w:rsidR="008A495B" w:rsidRPr="008A495B" w:rsidRDefault="008A495B" w:rsidP="008A49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«Бирюковский сельсовет» </w:t>
      </w: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8A495B" w:rsidRPr="008A495B" w:rsidRDefault="008A495B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8A495B" w:rsidRPr="008A495B" w:rsidRDefault="008A495B" w:rsidP="008A495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8A495B" w:rsidRPr="008A495B" w:rsidRDefault="008A495B" w:rsidP="008A495B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A495B" w:rsidRPr="008A495B" w:rsidRDefault="008A495B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A495B" w:rsidRPr="008A495B" w:rsidRDefault="008A495B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r w:rsidR="00762DC5"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СНиП</w:t>
      </w: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A495B" w:rsidRPr="008A495B" w:rsidRDefault="008A495B" w:rsidP="008A495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A49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A495B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8A495B" w:rsidRPr="008A495B" w:rsidRDefault="008A495B" w:rsidP="008A495B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495B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8A495B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762DC5" w:rsidRPr="00762DC5" w:rsidRDefault="00762DC5" w:rsidP="00762D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«Фунтовский сельсовет» </w:t>
      </w:r>
      <w:r w:rsidRPr="00762D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762DC5" w:rsidRPr="00762DC5" w:rsidRDefault="00762DC5" w:rsidP="00762DC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762DC5" w:rsidRPr="00762DC5" w:rsidRDefault="00762DC5" w:rsidP="00762DC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762DC5" w:rsidRPr="00762DC5" w:rsidRDefault="00762DC5" w:rsidP="00762DC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762DC5" w:rsidRPr="00762DC5" w:rsidRDefault="00762DC5" w:rsidP="00762DC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одноквартирные», СНиП 2.07.01-89* «Градостроительство. Планировка и застройка городских и сельских поселений». 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762DC5" w:rsidRPr="00762DC5" w:rsidRDefault="00762DC5" w:rsidP="00762DC5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62DC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762DC5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762DC5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CB4667" w:rsidRPr="00762DC5" w:rsidRDefault="00762DC5" w:rsidP="00762DC5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DC5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762DC5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762DC5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762DC5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D10FD1" w:rsidRPr="00450467" w:rsidRDefault="00D10FD1" w:rsidP="00EA3431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91729A" w:rsidRPr="00CB4667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4E43C7">
        <w:rPr>
          <w:rFonts w:ascii="Times New Roman" w:hAnsi="Times New Roman" w:cs="Times New Roman"/>
        </w:rPr>
        <w:t xml:space="preserve">ий </w:t>
      </w:r>
      <w:r w:rsidR="007A54CC">
        <w:rPr>
          <w:rFonts w:ascii="Times New Roman" w:hAnsi="Times New Roman" w:cs="Times New Roman"/>
        </w:rPr>
        <w:t xml:space="preserve">муниципальный </w:t>
      </w:r>
      <w:r w:rsidR="004E43C7" w:rsidRPr="004E43C7">
        <w:rPr>
          <w:rFonts w:ascii="Times New Roman" w:hAnsi="Times New Roman" w:cs="Times New Roman"/>
        </w:rPr>
        <w:t>район</w:t>
      </w:r>
      <w:r w:rsidR="007A54CC">
        <w:rPr>
          <w:rFonts w:ascii="Times New Roman" w:hAnsi="Times New Roman" w:cs="Times New Roman"/>
        </w:rPr>
        <w:t xml:space="preserve"> Астраханской области</w:t>
      </w:r>
      <w:r w:rsidR="004E43C7" w:rsidRPr="004E43C7">
        <w:rPr>
          <w:rFonts w:ascii="Times New Roman" w:hAnsi="Times New Roman" w:cs="Times New Roman"/>
        </w:rPr>
        <w:t xml:space="preserve">» </w:t>
      </w:r>
      <w:r w:rsidR="008C746F">
        <w:rPr>
          <w:rFonts w:ascii="Times New Roman" w:hAnsi="Times New Roman" w:cs="Times New Roman"/>
        </w:rPr>
        <w:t xml:space="preserve">№ 1288 от 13.03.2023 г., </w:t>
      </w:r>
      <w:r w:rsidR="009E422B">
        <w:rPr>
          <w:rFonts w:ascii="Times New Roman" w:hAnsi="Times New Roman" w:cs="Times New Roman"/>
        </w:rPr>
        <w:t xml:space="preserve">№ 2472 р от 24.04.2023 г., </w:t>
      </w:r>
      <w:r w:rsidR="00B01FD2">
        <w:rPr>
          <w:rFonts w:ascii="Times New Roman" w:hAnsi="Times New Roman" w:cs="Times New Roman"/>
        </w:rPr>
        <w:t xml:space="preserve">№ 2527 от 26.04.2023 г., </w:t>
      </w:r>
      <w:r w:rsidR="009E422B">
        <w:rPr>
          <w:rFonts w:ascii="Times New Roman" w:hAnsi="Times New Roman" w:cs="Times New Roman"/>
        </w:rPr>
        <w:t xml:space="preserve">№ 2078 от 10.04.2023 г., </w:t>
      </w:r>
      <w:r w:rsidR="004E43C7" w:rsidRPr="004E43C7">
        <w:rPr>
          <w:rFonts w:ascii="Times New Roman" w:hAnsi="Times New Roman" w:cs="Times New Roman"/>
        </w:rPr>
        <w:t xml:space="preserve">№ </w:t>
      </w:r>
      <w:r w:rsidR="00EA3431">
        <w:rPr>
          <w:rFonts w:ascii="Times New Roman" w:hAnsi="Times New Roman" w:cs="Times New Roman"/>
        </w:rPr>
        <w:t>2989 от 22.05.2023 г.,</w:t>
      </w:r>
      <w:r w:rsidR="00CB4667">
        <w:rPr>
          <w:rFonts w:ascii="Times New Roman" w:hAnsi="Times New Roman" w:cs="Times New Roman"/>
        </w:rPr>
        <w:t xml:space="preserve"> №</w:t>
      </w:r>
      <w:r w:rsidR="009E422B">
        <w:rPr>
          <w:rFonts w:ascii="Times New Roman" w:hAnsi="Times New Roman" w:cs="Times New Roman"/>
        </w:rPr>
        <w:t xml:space="preserve"> </w:t>
      </w:r>
      <w:r w:rsidR="00CB4667">
        <w:rPr>
          <w:rFonts w:ascii="Times New Roman" w:hAnsi="Times New Roman" w:cs="Times New Roman"/>
        </w:rPr>
        <w:t>3170 от 30.05.2023 г.,</w:t>
      </w:r>
      <w:r w:rsidR="008C746F">
        <w:rPr>
          <w:rFonts w:ascii="Times New Roman" w:hAnsi="Times New Roman" w:cs="Times New Roman"/>
        </w:rPr>
        <w:t xml:space="preserve"> </w:t>
      </w:r>
      <w:r w:rsidR="003D3BE7">
        <w:rPr>
          <w:rFonts w:ascii="Times New Roman" w:hAnsi="Times New Roman" w:cs="Times New Roman"/>
        </w:rPr>
        <w:t>№ 2995 от 22.05.2023 г.,</w:t>
      </w:r>
      <w:r w:rsidR="000F0559">
        <w:rPr>
          <w:rFonts w:ascii="Times New Roman" w:hAnsi="Times New Roman" w:cs="Times New Roman"/>
        </w:rPr>
        <w:t xml:space="preserve"> № 2997 от 22.05.2023 г.</w:t>
      </w:r>
    </w:p>
    <w:p w:rsidR="00754841" w:rsidRPr="009E422B" w:rsidRDefault="00B01FD2" w:rsidP="009E42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3: </w:t>
      </w:r>
      <w:r w:rsidR="00754841">
        <w:rPr>
          <w:rFonts w:ascii="Times New Roman" w:hAnsi="Times New Roman" w:cs="Times New Roman"/>
        </w:rPr>
        <w:t xml:space="preserve">МБУ МО Приволжский муниципальный район Астраханской области БИОМ (письмо от 26.04.2023 г. № 312) </w:t>
      </w:r>
      <w:r w:rsidR="00754841" w:rsidRPr="00754841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Бирюковский сельсовет, поселок </w:t>
      </w:r>
      <w:proofErr w:type="spellStart"/>
      <w:r w:rsidR="00754841" w:rsidRPr="00754841">
        <w:rPr>
          <w:rFonts w:ascii="Times New Roman" w:hAnsi="Times New Roman" w:cs="Times New Roman"/>
        </w:rPr>
        <w:t>Бушма</w:t>
      </w:r>
      <w:proofErr w:type="spellEnd"/>
      <w:r w:rsidR="00754841" w:rsidRPr="00754841">
        <w:rPr>
          <w:rFonts w:ascii="Times New Roman" w:hAnsi="Times New Roman" w:cs="Times New Roman"/>
        </w:rPr>
        <w:t>, улица Набережная, з/у 6</w:t>
      </w:r>
      <w:r w:rsidR="00754841">
        <w:rPr>
          <w:rFonts w:ascii="Times New Roman" w:hAnsi="Times New Roman" w:cs="Times New Roman"/>
        </w:rPr>
        <w:t xml:space="preserve"> (30:09:031201:272) – сведения о подключении (технологического присоединения) объектов к сетям инженерно-технического обеспечения сообщает, что сети МБУ «БИОМ» отсутствуют.</w:t>
      </w:r>
    </w:p>
    <w:p w:rsidR="009E422B" w:rsidRDefault="00B01FD2" w:rsidP="009E42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  <w:b/>
          <w:u w:val="single"/>
        </w:rPr>
        <w:t>Лот № 4:</w:t>
      </w:r>
      <w:r>
        <w:rPr>
          <w:rFonts w:ascii="Times New Roman" w:hAnsi="Times New Roman" w:cs="Times New Roman"/>
        </w:rPr>
        <w:t xml:space="preserve"> </w:t>
      </w:r>
      <w:r w:rsidR="009E422B">
        <w:rPr>
          <w:rFonts w:ascii="Times New Roman" w:hAnsi="Times New Roman" w:cs="Times New Roman"/>
        </w:rPr>
        <w:t xml:space="preserve">МБУ МО Приволжский муниципальный район Астраханской области БИОМ (письмо от 24.04.2023 г. № 290)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9E422B" w:rsidRPr="009E422B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Трехпротокский сельсовет, с. </w:t>
      </w:r>
      <w:proofErr w:type="spellStart"/>
      <w:r w:rsidR="009E422B" w:rsidRPr="009E422B">
        <w:rPr>
          <w:rFonts w:ascii="Times New Roman" w:hAnsi="Times New Roman" w:cs="Times New Roman"/>
        </w:rPr>
        <w:t>К</w:t>
      </w:r>
      <w:r w:rsidR="009E422B">
        <w:rPr>
          <w:rFonts w:ascii="Times New Roman" w:hAnsi="Times New Roman" w:cs="Times New Roman"/>
        </w:rPr>
        <w:t>улаковка</w:t>
      </w:r>
      <w:proofErr w:type="spellEnd"/>
      <w:r w:rsidR="009E422B">
        <w:rPr>
          <w:rFonts w:ascii="Times New Roman" w:hAnsi="Times New Roman" w:cs="Times New Roman"/>
        </w:rPr>
        <w:t>, ул. Заречная, з/у 43А (</w:t>
      </w:r>
      <w:r w:rsidR="009E422B" w:rsidRPr="009E422B">
        <w:rPr>
          <w:rFonts w:ascii="Times New Roman" w:hAnsi="Times New Roman" w:cs="Times New Roman"/>
        </w:rPr>
        <w:t>30:09:090207:159</w:t>
      </w:r>
      <w:r w:rsidR="009E422B">
        <w:rPr>
          <w:rFonts w:ascii="Times New Roman" w:hAnsi="Times New Roman" w:cs="Times New Roman"/>
        </w:rPr>
        <w:t xml:space="preserve">) от разводящих сетей с. </w:t>
      </w:r>
      <w:proofErr w:type="spellStart"/>
      <w:r w:rsidR="009E422B">
        <w:rPr>
          <w:rFonts w:ascii="Times New Roman" w:hAnsi="Times New Roman" w:cs="Times New Roman"/>
        </w:rPr>
        <w:t>Кулаковка</w:t>
      </w:r>
      <w:proofErr w:type="spellEnd"/>
      <w:r w:rsidR="009E422B">
        <w:rPr>
          <w:rFonts w:ascii="Times New Roman" w:hAnsi="Times New Roman" w:cs="Times New Roman"/>
        </w:rPr>
        <w:t>.</w:t>
      </w:r>
    </w:p>
    <w:p w:rsidR="00B01FD2" w:rsidRDefault="00B01FD2" w:rsidP="00FA6F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1FD2">
        <w:rPr>
          <w:rFonts w:ascii="Times New Roman" w:hAnsi="Times New Roman" w:cs="Times New Roman"/>
          <w:b/>
          <w:u w:val="single"/>
        </w:rPr>
        <w:t>Лот № 5:</w:t>
      </w:r>
      <w:r>
        <w:rPr>
          <w:rFonts w:ascii="Times New Roman" w:hAnsi="Times New Roman" w:cs="Times New Roman"/>
        </w:rPr>
        <w:t xml:space="preserve"> МБУ МО Приволжский муниципальный район Астраханской области БИОМ (письмо от </w:t>
      </w:r>
      <w:r w:rsidR="00FA6FD8">
        <w:rPr>
          <w:rFonts w:ascii="Times New Roman" w:hAnsi="Times New Roman" w:cs="Times New Roman"/>
        </w:rPr>
        <w:t>21.06</w:t>
      </w:r>
      <w:r>
        <w:rPr>
          <w:rFonts w:ascii="Times New Roman" w:hAnsi="Times New Roman" w:cs="Times New Roman"/>
        </w:rPr>
        <w:t xml:space="preserve">.2023 г. № </w:t>
      </w:r>
      <w:r w:rsidR="00FA6FD8">
        <w:rPr>
          <w:rFonts w:ascii="Times New Roman" w:hAnsi="Times New Roman" w:cs="Times New Roman"/>
        </w:rPr>
        <w:t>496</w:t>
      </w:r>
      <w:r>
        <w:rPr>
          <w:rFonts w:ascii="Times New Roman" w:hAnsi="Times New Roman" w:cs="Times New Roman"/>
        </w:rPr>
        <w:t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</w:t>
      </w:r>
      <w:r w:rsidR="00FA6FD8">
        <w:rPr>
          <w:rFonts w:ascii="Times New Roman" w:hAnsi="Times New Roman" w:cs="Times New Roman"/>
        </w:rPr>
        <w:t>и водоснабжения до земельного</w:t>
      </w:r>
      <w:r>
        <w:rPr>
          <w:rFonts w:ascii="Times New Roman" w:hAnsi="Times New Roman" w:cs="Times New Roman"/>
        </w:rPr>
        <w:t xml:space="preserve"> участк</w:t>
      </w:r>
      <w:r w:rsidR="00FA6F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расположенн</w:t>
      </w:r>
      <w:r w:rsidR="00FA6FD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 адрес</w:t>
      </w:r>
      <w:r w:rsidR="00FA6FD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составляет:</w:t>
      </w:r>
      <w:r w:rsidRPr="00B01FD2">
        <w:t xml:space="preserve"> </w:t>
      </w:r>
      <w:r w:rsidRPr="00B01FD2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Новая, земельный участок 11</w:t>
      </w:r>
      <w:r w:rsidR="00FA6FD8">
        <w:rPr>
          <w:rFonts w:ascii="Times New Roman" w:hAnsi="Times New Roman" w:cs="Times New Roman"/>
        </w:rPr>
        <w:t xml:space="preserve"> (30:09:130306:143) – 500 м, </w:t>
      </w:r>
      <w:proofErr w:type="spellStart"/>
      <w:r w:rsidR="00FA6FD8">
        <w:rPr>
          <w:rFonts w:ascii="Times New Roman" w:hAnsi="Times New Roman" w:cs="Times New Roman"/>
        </w:rPr>
        <w:t>Ду</w:t>
      </w:r>
      <w:proofErr w:type="spellEnd"/>
      <w:r w:rsidR="00FA6FD8">
        <w:rPr>
          <w:rFonts w:ascii="Times New Roman" w:hAnsi="Times New Roman" w:cs="Times New Roman"/>
        </w:rPr>
        <w:t xml:space="preserve"> – 160 ПНД (ул. Казачья).</w:t>
      </w:r>
    </w:p>
    <w:p w:rsidR="002E66FF" w:rsidRPr="00FA6FD8" w:rsidRDefault="00FA6FD8" w:rsidP="00FA6F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6FD8">
        <w:rPr>
          <w:rFonts w:ascii="Times New Roman" w:hAnsi="Times New Roman" w:cs="Times New Roman"/>
          <w:b/>
          <w:u w:val="single"/>
        </w:rPr>
        <w:t>Лот № 6:</w:t>
      </w:r>
      <w:r>
        <w:rPr>
          <w:rFonts w:ascii="Times New Roman" w:hAnsi="Times New Roman" w:cs="Times New Roman"/>
        </w:rPr>
        <w:t xml:space="preserve"> </w:t>
      </w:r>
      <w:r w:rsidR="002E66FF">
        <w:rPr>
          <w:rFonts w:ascii="Times New Roman" w:hAnsi="Times New Roman" w:cs="Times New Roman"/>
        </w:rPr>
        <w:t>МБУ МО Приволжский муниципальный район Астраханской области БИО</w:t>
      </w:r>
      <w:r w:rsidR="001131A0">
        <w:rPr>
          <w:rFonts w:ascii="Times New Roman" w:hAnsi="Times New Roman" w:cs="Times New Roman"/>
        </w:rPr>
        <w:t xml:space="preserve">М (письмо от </w:t>
      </w:r>
      <w:r w:rsidR="00F83B35">
        <w:rPr>
          <w:rFonts w:ascii="Times New Roman" w:hAnsi="Times New Roman" w:cs="Times New Roman"/>
        </w:rPr>
        <w:t>26.0</w:t>
      </w:r>
      <w:r w:rsidR="00EA3431">
        <w:rPr>
          <w:rFonts w:ascii="Times New Roman" w:hAnsi="Times New Roman" w:cs="Times New Roman"/>
        </w:rPr>
        <w:t>5</w:t>
      </w:r>
      <w:r w:rsidR="001131A0">
        <w:rPr>
          <w:rFonts w:ascii="Times New Roman" w:hAnsi="Times New Roman" w:cs="Times New Roman"/>
        </w:rPr>
        <w:t xml:space="preserve">.2023 г. № </w:t>
      </w:r>
      <w:r w:rsidR="00F83B35">
        <w:rPr>
          <w:rFonts w:ascii="Times New Roman" w:hAnsi="Times New Roman" w:cs="Times New Roman"/>
        </w:rPr>
        <w:t>3</w:t>
      </w:r>
      <w:r w:rsidR="00EA3431">
        <w:rPr>
          <w:rFonts w:ascii="Times New Roman" w:hAnsi="Times New Roman" w:cs="Times New Roman"/>
        </w:rPr>
        <w:t>88</w:t>
      </w:r>
      <w:r w:rsidR="002E66FF">
        <w:rPr>
          <w:rFonts w:ascii="Times New Roman" w:hAnsi="Times New Roman" w:cs="Times New Roman"/>
        </w:rPr>
        <w:t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</w:t>
      </w:r>
      <w:r>
        <w:rPr>
          <w:rFonts w:ascii="Times New Roman" w:hAnsi="Times New Roman" w:cs="Times New Roman"/>
        </w:rPr>
        <w:t xml:space="preserve"> </w:t>
      </w:r>
      <w:r w:rsidR="002E66FF" w:rsidRPr="00FA6FD8">
        <w:rPr>
          <w:rFonts w:ascii="Times New Roman" w:hAnsi="Times New Roman" w:cs="Times New Roman"/>
          <w:color w:val="000000"/>
          <w:shd w:val="clear" w:color="auto" w:fill="F8F9FA"/>
        </w:rPr>
        <w:t>Астраханская область, Приволжский</w:t>
      </w:r>
      <w:r w:rsidR="00F83B35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 район</w:t>
      </w:r>
      <w:r w:rsidR="002E66FF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, </w:t>
      </w:r>
      <w:r w:rsidR="00F83B35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с. </w:t>
      </w:r>
      <w:r w:rsidR="00EA3431" w:rsidRPr="00FA6FD8">
        <w:rPr>
          <w:rFonts w:ascii="Times New Roman" w:hAnsi="Times New Roman" w:cs="Times New Roman"/>
          <w:color w:val="000000"/>
          <w:shd w:val="clear" w:color="auto" w:fill="F8F9FA"/>
        </w:rPr>
        <w:t>Осыпной Бугор, ул. Жукова 6</w:t>
      </w:r>
      <w:r w:rsidR="00F83B35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 (</w:t>
      </w:r>
      <w:r w:rsidR="002E66FF" w:rsidRPr="00FA6FD8">
        <w:rPr>
          <w:rFonts w:ascii="Times New Roman" w:hAnsi="Times New Roman" w:cs="Times New Roman"/>
          <w:color w:val="000000"/>
          <w:shd w:val="clear" w:color="auto" w:fill="F8F9FA"/>
        </w:rPr>
        <w:t>30:09:</w:t>
      </w:r>
      <w:r w:rsidR="00EA3431" w:rsidRPr="00FA6FD8">
        <w:rPr>
          <w:rFonts w:ascii="Times New Roman" w:hAnsi="Times New Roman" w:cs="Times New Roman"/>
          <w:color w:val="000000"/>
          <w:shd w:val="clear" w:color="auto" w:fill="F8F9FA"/>
        </w:rPr>
        <w:t>100201</w:t>
      </w:r>
      <w:r w:rsidR="001131A0" w:rsidRPr="00FA6FD8">
        <w:rPr>
          <w:rFonts w:ascii="Times New Roman" w:hAnsi="Times New Roman" w:cs="Times New Roman"/>
          <w:color w:val="000000"/>
          <w:shd w:val="clear" w:color="auto" w:fill="F8F9FA"/>
        </w:rPr>
        <w:t>:</w:t>
      </w:r>
      <w:r w:rsidR="00EA3431" w:rsidRPr="00FA6FD8">
        <w:rPr>
          <w:rFonts w:ascii="Times New Roman" w:hAnsi="Times New Roman" w:cs="Times New Roman"/>
          <w:color w:val="000000"/>
          <w:shd w:val="clear" w:color="auto" w:fill="F8F9FA"/>
        </w:rPr>
        <w:t>461</w:t>
      </w:r>
      <w:r w:rsidR="00F83B35" w:rsidRPr="00FA6FD8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 w:rsidR="00EA3431" w:rsidRPr="00FA6FD8">
        <w:rPr>
          <w:rFonts w:ascii="Times New Roman" w:hAnsi="Times New Roman" w:cs="Times New Roman"/>
          <w:color w:val="000000"/>
          <w:shd w:val="clear" w:color="auto" w:fill="F8F9FA"/>
        </w:rPr>
        <w:t>60</w:t>
      </w:r>
      <w:r w:rsidR="001131A0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 м, </w:t>
      </w:r>
      <w:proofErr w:type="spellStart"/>
      <w:r w:rsidR="001131A0" w:rsidRPr="00FA6FD8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="001131A0" w:rsidRPr="00FA6FD8">
        <w:rPr>
          <w:rFonts w:ascii="Times New Roman" w:hAnsi="Times New Roman" w:cs="Times New Roman"/>
          <w:color w:val="000000"/>
          <w:shd w:val="clear" w:color="auto" w:fill="F8F9FA"/>
        </w:rPr>
        <w:t>-</w:t>
      </w:r>
      <w:r w:rsidR="00F83B35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 160</w:t>
      </w:r>
      <w:r w:rsidR="002E66FF" w:rsidRPr="00FA6FD8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</w:p>
    <w:p w:rsidR="00F83B35" w:rsidRPr="000455FF" w:rsidRDefault="00F83B35" w:rsidP="000455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3B35">
        <w:rPr>
          <w:rFonts w:ascii="Times New Roman" w:hAnsi="Times New Roman" w:cs="Times New Roman"/>
          <w:b/>
          <w:u w:val="single"/>
        </w:rPr>
        <w:t>Лот №</w:t>
      </w:r>
      <w:r w:rsidR="003D3BE7">
        <w:rPr>
          <w:rFonts w:ascii="Times New Roman" w:hAnsi="Times New Roman" w:cs="Times New Roman"/>
          <w:b/>
          <w:u w:val="single"/>
        </w:rPr>
        <w:t xml:space="preserve"> </w:t>
      </w:r>
      <w:r w:rsidR="00CA7431">
        <w:rPr>
          <w:rFonts w:ascii="Times New Roman" w:hAnsi="Times New Roman" w:cs="Times New Roman"/>
          <w:b/>
          <w:u w:val="single"/>
        </w:rPr>
        <w:t>9</w:t>
      </w:r>
      <w:r w:rsidR="00CA7431" w:rsidRPr="00F83B35">
        <w:rPr>
          <w:rFonts w:ascii="Times New Roman" w:hAnsi="Times New Roman" w:cs="Times New Roman"/>
          <w:b/>
          <w:u w:val="single"/>
        </w:rPr>
        <w:t>:</w:t>
      </w:r>
      <w:r w:rsidRPr="00F83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 МО Приволжский муниципальный район Астраханской области БИОМ (письмо от 2</w:t>
      </w:r>
      <w:r w:rsidR="003D3B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3D3BE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.2023 г. № </w:t>
      </w:r>
      <w:r w:rsidR="003D3BE7">
        <w:rPr>
          <w:rFonts w:ascii="Times New Roman" w:hAnsi="Times New Roman" w:cs="Times New Roman"/>
        </w:rPr>
        <w:t>495</w:t>
      </w:r>
      <w:r>
        <w:rPr>
          <w:rFonts w:ascii="Times New Roman" w:hAnsi="Times New Roman" w:cs="Times New Roman"/>
        </w:rPr>
        <w:t>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</w:t>
      </w:r>
      <w:r w:rsidR="000455FF">
        <w:rPr>
          <w:rFonts w:ascii="Times New Roman" w:hAnsi="Times New Roman" w:cs="Times New Roman"/>
        </w:rPr>
        <w:t xml:space="preserve"> лини водоснабжения до земельного</w:t>
      </w:r>
      <w:r>
        <w:rPr>
          <w:rFonts w:ascii="Times New Roman" w:hAnsi="Times New Roman" w:cs="Times New Roman"/>
        </w:rPr>
        <w:t xml:space="preserve"> участк</w:t>
      </w:r>
      <w:r w:rsidR="000455F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расположенн</w:t>
      </w:r>
      <w:r w:rsidR="000455F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 адрес</w:t>
      </w:r>
      <w:r w:rsidR="000455F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составляет:</w:t>
      </w:r>
      <w:r w:rsidR="000455FF">
        <w:rPr>
          <w:rFonts w:ascii="Times New Roman" w:hAnsi="Times New Roman" w:cs="Times New Roman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Астраханская область, Приволжский район, </w:t>
      </w:r>
      <w:r w:rsidR="003D3BE7" w:rsidRPr="000455FF">
        <w:rPr>
          <w:rFonts w:ascii="Times New Roman" w:hAnsi="Times New Roman" w:cs="Times New Roman"/>
          <w:color w:val="000000"/>
          <w:shd w:val="clear" w:color="auto" w:fill="F8F9FA"/>
        </w:rPr>
        <w:t>п. Кинелле, ул.</w:t>
      </w:r>
      <w:r w:rsidR="00E37F6B"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Набережная 1 «А»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(30:09:</w:t>
      </w:r>
      <w:r w:rsidR="00E37F6B" w:rsidRPr="000455FF">
        <w:rPr>
          <w:rFonts w:ascii="Times New Roman" w:hAnsi="Times New Roman" w:cs="Times New Roman"/>
          <w:color w:val="000000"/>
          <w:shd w:val="clear" w:color="auto" w:fill="F8F9FA"/>
        </w:rPr>
        <w:t>080601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 w:rsidR="00E37F6B" w:rsidRPr="000455FF">
        <w:rPr>
          <w:rFonts w:ascii="Times New Roman" w:hAnsi="Times New Roman" w:cs="Times New Roman"/>
          <w:color w:val="000000"/>
          <w:shd w:val="clear" w:color="auto" w:fill="F8F9FA"/>
        </w:rPr>
        <w:t>64) – 3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5 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 w:rsidR="00E37F6B" w:rsidRPr="000455FF">
        <w:rPr>
          <w:rFonts w:ascii="Times New Roman" w:hAnsi="Times New Roman" w:cs="Times New Roman"/>
          <w:color w:val="000000"/>
          <w:shd w:val="clear" w:color="auto" w:fill="F8F9FA"/>
        </w:rPr>
        <w:t>50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</w:p>
    <w:p w:rsidR="00CA7431" w:rsidRDefault="00CA743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83B35">
        <w:rPr>
          <w:rFonts w:ascii="Times New Roman" w:hAnsi="Times New Roman" w:cs="Times New Roman"/>
          <w:b/>
          <w:u w:val="single"/>
        </w:rPr>
        <w:t>Лот №</w:t>
      </w:r>
      <w:r>
        <w:rPr>
          <w:rFonts w:ascii="Times New Roman" w:hAnsi="Times New Roman" w:cs="Times New Roman"/>
          <w:b/>
          <w:u w:val="single"/>
        </w:rPr>
        <w:t xml:space="preserve"> 11:</w:t>
      </w:r>
      <w:r w:rsidRPr="00F83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МБУ МО Приволжский муниципальный район Астраханской области БИОМ (письмо от 21.06.2023 г. № 498)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Астраханская область, Приволжский район, </w:t>
      </w:r>
      <w:r>
        <w:rPr>
          <w:rFonts w:ascii="Times New Roman" w:hAnsi="Times New Roman" w:cs="Times New Roman"/>
          <w:color w:val="000000"/>
          <w:shd w:val="clear" w:color="auto" w:fill="F8F9FA"/>
        </w:rPr>
        <w:t>п. Кирпичного Завода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№ 1, ул. Толстого, 13 «б»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100405:1349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) – </w:t>
      </w:r>
      <w:r>
        <w:rPr>
          <w:rFonts w:ascii="Times New Roman" w:hAnsi="Times New Roman" w:cs="Times New Roman"/>
          <w:color w:val="000000"/>
          <w:shd w:val="clear" w:color="auto" w:fill="F8F9FA"/>
        </w:rPr>
        <w:t>56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</w:p>
    <w:p w:rsidR="00FC4694" w:rsidRDefault="00FC4694" w:rsidP="00FC46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МБУ МО Приволжский муниципальный район Астраханской области БИОМ (письмо от 21.06.2023 г. № 494)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</w:t>
      </w:r>
    </w:p>
    <w:p w:rsidR="00FC4694" w:rsidRDefault="00FC4694" w:rsidP="00FC4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83B35">
        <w:rPr>
          <w:rFonts w:ascii="Times New Roman" w:hAnsi="Times New Roman" w:cs="Times New Roman"/>
          <w:b/>
          <w:u w:val="single"/>
        </w:rPr>
        <w:t>Лот №</w:t>
      </w:r>
      <w:r>
        <w:rPr>
          <w:rFonts w:ascii="Times New Roman" w:hAnsi="Times New Roman" w:cs="Times New Roman"/>
          <w:b/>
          <w:u w:val="single"/>
        </w:rPr>
        <w:t xml:space="preserve"> 12</w:t>
      </w:r>
      <w:r w:rsidRPr="00F83B35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Астраханская область, муниципальный район Приволжский, сельское поселение село Карагали, село Карагали, улица Нижегородская, земельный участок 39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537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) – </w:t>
      </w:r>
      <w:r>
        <w:rPr>
          <w:rFonts w:ascii="Times New Roman" w:hAnsi="Times New Roman" w:cs="Times New Roman"/>
          <w:color w:val="000000"/>
          <w:shd w:val="clear" w:color="auto" w:fill="F8F9FA"/>
        </w:rPr>
        <w:t>190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FC4694" w:rsidRDefault="00FC4694" w:rsidP="00FC4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13: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земельный участок </w:t>
      </w:r>
      <w:r>
        <w:rPr>
          <w:rFonts w:ascii="Times New Roman" w:hAnsi="Times New Roman" w:cs="Times New Roman"/>
          <w:color w:val="000000"/>
          <w:shd w:val="clear" w:color="auto" w:fill="F8F9FA"/>
        </w:rPr>
        <w:t>41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542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) </w:t>
      </w:r>
      <w:r w:rsidR="00BA28BA" w:rsidRPr="000455FF">
        <w:rPr>
          <w:rFonts w:ascii="Times New Roman" w:hAnsi="Times New Roman" w:cs="Times New Roman"/>
          <w:color w:val="000000"/>
          <w:shd w:val="clear" w:color="auto" w:fill="F8F9FA"/>
        </w:rPr>
        <w:t>– 185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28BA" w:rsidRDefault="00BA28BA" w:rsidP="00BA2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4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37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185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28BA" w:rsidRDefault="00BA28BA" w:rsidP="00BA2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5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38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546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185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28BA" w:rsidRDefault="00BA28BA" w:rsidP="00BA2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6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40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544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>7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28BA" w:rsidRDefault="00BA28BA" w:rsidP="00BA28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7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36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545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>8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7D6B39" w:rsidRDefault="007D6B39" w:rsidP="007D6B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8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33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539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>7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5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394E95" w:rsidRDefault="00394E95" w:rsidP="00394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Лот № 1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9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35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551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80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394E95" w:rsidRDefault="00394E95" w:rsidP="00394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20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31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547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65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992720" w:rsidRDefault="00992720" w:rsidP="009927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21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32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538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65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992720" w:rsidRDefault="00992720" w:rsidP="009927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22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 w:rsidR="00222735">
        <w:rPr>
          <w:rFonts w:ascii="Times New Roman" w:hAnsi="Times New Roman" w:cs="Times New Roman"/>
          <w:color w:val="000000"/>
          <w:shd w:val="clear" w:color="auto" w:fill="F8F9FA"/>
        </w:rPr>
        <w:t>з/у 34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536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60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222735" w:rsidRDefault="00222735" w:rsidP="0022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23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з/у 30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553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50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222735" w:rsidRDefault="00222735" w:rsidP="0022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24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27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552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50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222735" w:rsidRDefault="00222735" w:rsidP="0022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25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29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548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25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222735" w:rsidRDefault="00222735" w:rsidP="002227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26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25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10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5EDE" w:rsidRDefault="00BA5EDE" w:rsidP="00BA5E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27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26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549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00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BA5EDE" w:rsidRDefault="00BA5EDE" w:rsidP="00BA5E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28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28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550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) – 1</w:t>
      </w:r>
      <w:r w:rsidR="00B02353">
        <w:rPr>
          <w:rFonts w:ascii="Times New Roman" w:hAnsi="Times New Roman" w:cs="Times New Roman"/>
          <w:color w:val="000000"/>
          <w:shd w:val="clear" w:color="auto" w:fill="F8F9FA"/>
        </w:rPr>
        <w:t>2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0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53661B" w:rsidRDefault="0053661B" w:rsidP="005366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29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 муниципальный район Приволжский, сельское поселение село Карагали, село Карагали, улица Нижегородская, </w:t>
      </w:r>
      <w:r>
        <w:rPr>
          <w:rFonts w:ascii="Times New Roman" w:hAnsi="Times New Roman" w:cs="Times New Roman"/>
          <w:color w:val="000000"/>
          <w:shd w:val="clear" w:color="auto" w:fill="F8F9FA"/>
        </w:rPr>
        <w:t>земельный участок 24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130501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543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) – 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91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110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 ПНД;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(ул. Нижегородская);</w:t>
      </w:r>
    </w:p>
    <w:p w:rsidR="00FC4694" w:rsidRPr="004278E8" w:rsidRDefault="004278E8" w:rsidP="004278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8F9FA"/>
        </w:rPr>
      </w:pP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Лот №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>30</w:t>
      </w:r>
      <w:r w:rsidRPr="00FC4694">
        <w:rPr>
          <w:rFonts w:ascii="Times New Roman" w:hAnsi="Times New Roman" w:cs="Times New Roman"/>
          <w:b/>
          <w:color w:val="000000"/>
          <w:u w:val="single"/>
          <w:shd w:val="clear" w:color="auto" w:fill="F8F9FA"/>
        </w:rPr>
        <w:t xml:space="preserve">: </w:t>
      </w:r>
      <w:r w:rsidRPr="00FC4694">
        <w:rPr>
          <w:rFonts w:ascii="Times New Roman" w:hAnsi="Times New Roman" w:cs="Times New Roman"/>
        </w:rPr>
        <w:t>Астраханская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 область,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Приволжский</w:t>
      </w:r>
      <w:r w:rsidRPr="004278E8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>район, с</w:t>
      </w:r>
      <w:r>
        <w:rPr>
          <w:rFonts w:ascii="Times New Roman" w:hAnsi="Times New Roman" w:cs="Times New Roman"/>
          <w:color w:val="000000"/>
          <w:shd w:val="clear" w:color="auto" w:fill="F8F9FA"/>
        </w:rPr>
        <w:t>.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Карагали, </w:t>
      </w:r>
      <w:r>
        <w:rPr>
          <w:rFonts w:ascii="Times New Roman" w:hAnsi="Times New Roman" w:cs="Times New Roman"/>
          <w:color w:val="000000"/>
          <w:shd w:val="clear" w:color="auto" w:fill="F8F9FA"/>
        </w:rPr>
        <w:t>ул. К. Маркса, 20</w:t>
      </w:r>
      <w:r w:rsidRPr="00FC4694">
        <w:rPr>
          <w:rFonts w:ascii="Times New Roman" w:hAnsi="Times New Roman" w:cs="Times New Roman"/>
          <w:color w:val="000000"/>
          <w:shd w:val="clear" w:color="auto" w:fill="F8F9FA"/>
        </w:rPr>
        <w:t xml:space="preserve">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(30:09:</w:t>
      </w:r>
      <w:r>
        <w:rPr>
          <w:rFonts w:ascii="Times New Roman" w:hAnsi="Times New Roman" w:cs="Times New Roman"/>
          <w:color w:val="000000"/>
          <w:shd w:val="clear" w:color="auto" w:fill="F8F9FA"/>
        </w:rPr>
        <w:t>130313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>:</w:t>
      </w:r>
      <w:r>
        <w:rPr>
          <w:rFonts w:ascii="Times New Roman" w:hAnsi="Times New Roman" w:cs="Times New Roman"/>
          <w:color w:val="000000"/>
          <w:shd w:val="clear" w:color="auto" w:fill="F8F9FA"/>
        </w:rPr>
        <w:t>205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) – </w:t>
      </w:r>
      <w:r>
        <w:rPr>
          <w:rFonts w:ascii="Times New Roman" w:hAnsi="Times New Roman" w:cs="Times New Roman"/>
          <w:color w:val="000000"/>
          <w:shd w:val="clear" w:color="auto" w:fill="F8F9FA"/>
        </w:rPr>
        <w:t xml:space="preserve">25 </w:t>
      </w:r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м, </w:t>
      </w:r>
      <w:proofErr w:type="spellStart"/>
      <w:r w:rsidRPr="000455FF">
        <w:rPr>
          <w:rFonts w:ascii="Times New Roman" w:hAnsi="Times New Roman" w:cs="Times New Roman"/>
          <w:color w:val="000000"/>
          <w:shd w:val="clear" w:color="auto" w:fill="F8F9FA"/>
        </w:rPr>
        <w:t>Ду</w:t>
      </w:r>
      <w:proofErr w:type="spellEnd"/>
      <w:r w:rsidRPr="000455FF">
        <w:rPr>
          <w:rFonts w:ascii="Times New Roman" w:hAnsi="Times New Roman" w:cs="Times New Roman"/>
          <w:color w:val="000000"/>
          <w:shd w:val="clear" w:color="auto" w:fill="F8F9FA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8F9FA"/>
        </w:rPr>
        <w:t>63 ПНД.</w:t>
      </w:r>
      <w:r w:rsidR="000F0559" w:rsidRPr="000F0559">
        <w:rPr>
          <w:rFonts w:ascii="Times New Roman" w:hAnsi="Times New Roman" w:cs="Times New Roman"/>
        </w:rPr>
        <w:t xml:space="preserve"> </w:t>
      </w:r>
      <w:r w:rsidR="000F0559">
        <w:rPr>
          <w:rFonts w:ascii="Times New Roman" w:hAnsi="Times New Roman" w:cs="Times New Roman"/>
        </w:rPr>
        <w:t>МБУ МО Приволжский муниципальный район Астраханской области БИОМ (письмо от 27.04.2023 г. № 326)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5560F7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пунктах 2 – 4 раздела 3 настоящего Извещения (приложение № 1 к настоящему извещению).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аренды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7A54CC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A23100" w:rsidRDefault="004278E8" w:rsidP="00C46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A23100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18"/>
  </w:num>
  <w:num w:numId="10">
    <w:abstractNumId w:val="16"/>
  </w:num>
  <w:num w:numId="11">
    <w:abstractNumId w:val="2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  <w:num w:numId="19">
    <w:abstractNumId w:val="12"/>
  </w:num>
  <w:num w:numId="20">
    <w:abstractNumId w:val="6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7ACA"/>
    <w:rsid w:val="0001718F"/>
    <w:rsid w:val="0004277D"/>
    <w:rsid w:val="000455FF"/>
    <w:rsid w:val="00046C55"/>
    <w:rsid w:val="00050FCB"/>
    <w:rsid w:val="0005461C"/>
    <w:rsid w:val="00070CC0"/>
    <w:rsid w:val="00076FA2"/>
    <w:rsid w:val="0009222D"/>
    <w:rsid w:val="000C2345"/>
    <w:rsid w:val="000C2D74"/>
    <w:rsid w:val="000D2B09"/>
    <w:rsid w:val="000D769C"/>
    <w:rsid w:val="000E2153"/>
    <w:rsid w:val="000E4AF5"/>
    <w:rsid w:val="000F0559"/>
    <w:rsid w:val="000F39D6"/>
    <w:rsid w:val="00103720"/>
    <w:rsid w:val="00104B09"/>
    <w:rsid w:val="00112BAD"/>
    <w:rsid w:val="001131A0"/>
    <w:rsid w:val="00114B75"/>
    <w:rsid w:val="00133951"/>
    <w:rsid w:val="00170AD0"/>
    <w:rsid w:val="00183845"/>
    <w:rsid w:val="00185D8F"/>
    <w:rsid w:val="001938FC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212A5A"/>
    <w:rsid w:val="00212C64"/>
    <w:rsid w:val="00213228"/>
    <w:rsid w:val="00222735"/>
    <w:rsid w:val="0023229E"/>
    <w:rsid w:val="002326A4"/>
    <w:rsid w:val="002328E9"/>
    <w:rsid w:val="0023341A"/>
    <w:rsid w:val="0023408C"/>
    <w:rsid w:val="00250FC8"/>
    <w:rsid w:val="00255903"/>
    <w:rsid w:val="00293139"/>
    <w:rsid w:val="00294555"/>
    <w:rsid w:val="00296F5E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77A"/>
    <w:rsid w:val="0035719B"/>
    <w:rsid w:val="00362EC3"/>
    <w:rsid w:val="0036346B"/>
    <w:rsid w:val="00394E95"/>
    <w:rsid w:val="00397B36"/>
    <w:rsid w:val="003B30FD"/>
    <w:rsid w:val="003C48A6"/>
    <w:rsid w:val="003C4A8C"/>
    <w:rsid w:val="003C4FF9"/>
    <w:rsid w:val="003D3BE7"/>
    <w:rsid w:val="003D6552"/>
    <w:rsid w:val="003F4E3B"/>
    <w:rsid w:val="00402F70"/>
    <w:rsid w:val="004146CD"/>
    <w:rsid w:val="0042353B"/>
    <w:rsid w:val="004278E8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D491B"/>
    <w:rsid w:val="004D4A44"/>
    <w:rsid w:val="004E2F7C"/>
    <w:rsid w:val="004E43C7"/>
    <w:rsid w:val="004F195D"/>
    <w:rsid w:val="005003CF"/>
    <w:rsid w:val="00507802"/>
    <w:rsid w:val="0051127E"/>
    <w:rsid w:val="005144A9"/>
    <w:rsid w:val="005176E3"/>
    <w:rsid w:val="0053661B"/>
    <w:rsid w:val="00554D4F"/>
    <w:rsid w:val="005560F7"/>
    <w:rsid w:val="00560BB5"/>
    <w:rsid w:val="00573224"/>
    <w:rsid w:val="00583FA1"/>
    <w:rsid w:val="005A2E0C"/>
    <w:rsid w:val="005B6D11"/>
    <w:rsid w:val="005C314D"/>
    <w:rsid w:val="005F220D"/>
    <w:rsid w:val="006069D9"/>
    <w:rsid w:val="00620CEC"/>
    <w:rsid w:val="0062163E"/>
    <w:rsid w:val="0062505E"/>
    <w:rsid w:val="00637C2F"/>
    <w:rsid w:val="00637C84"/>
    <w:rsid w:val="00647EEE"/>
    <w:rsid w:val="0066208A"/>
    <w:rsid w:val="0066621E"/>
    <w:rsid w:val="006662F7"/>
    <w:rsid w:val="006829AD"/>
    <w:rsid w:val="00682DB2"/>
    <w:rsid w:val="006A5A6C"/>
    <w:rsid w:val="006B5F71"/>
    <w:rsid w:val="006C0B1A"/>
    <w:rsid w:val="006C4F1C"/>
    <w:rsid w:val="00706663"/>
    <w:rsid w:val="007110C2"/>
    <w:rsid w:val="00711B43"/>
    <w:rsid w:val="007177E7"/>
    <w:rsid w:val="00721DC3"/>
    <w:rsid w:val="00724AB7"/>
    <w:rsid w:val="00725D37"/>
    <w:rsid w:val="00730A0F"/>
    <w:rsid w:val="00734383"/>
    <w:rsid w:val="0074204B"/>
    <w:rsid w:val="00742870"/>
    <w:rsid w:val="00745C2B"/>
    <w:rsid w:val="00750CD1"/>
    <w:rsid w:val="0075328E"/>
    <w:rsid w:val="00754841"/>
    <w:rsid w:val="00762DC5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6B39"/>
    <w:rsid w:val="007D718F"/>
    <w:rsid w:val="007F5FEB"/>
    <w:rsid w:val="00802702"/>
    <w:rsid w:val="00810DA4"/>
    <w:rsid w:val="0082405B"/>
    <w:rsid w:val="00837B3E"/>
    <w:rsid w:val="00843194"/>
    <w:rsid w:val="00847006"/>
    <w:rsid w:val="0084735A"/>
    <w:rsid w:val="008611F1"/>
    <w:rsid w:val="00887CC7"/>
    <w:rsid w:val="0089255B"/>
    <w:rsid w:val="00893BA2"/>
    <w:rsid w:val="00895C84"/>
    <w:rsid w:val="008A1DE5"/>
    <w:rsid w:val="008A495B"/>
    <w:rsid w:val="008C3939"/>
    <w:rsid w:val="008C3EB7"/>
    <w:rsid w:val="008C3F66"/>
    <w:rsid w:val="008C746F"/>
    <w:rsid w:val="008E032E"/>
    <w:rsid w:val="008E1D5D"/>
    <w:rsid w:val="008F02B4"/>
    <w:rsid w:val="008F403A"/>
    <w:rsid w:val="0090448D"/>
    <w:rsid w:val="0091197F"/>
    <w:rsid w:val="009157B8"/>
    <w:rsid w:val="0091729A"/>
    <w:rsid w:val="009239C7"/>
    <w:rsid w:val="00967D28"/>
    <w:rsid w:val="0099203F"/>
    <w:rsid w:val="00992720"/>
    <w:rsid w:val="00994A88"/>
    <w:rsid w:val="009A45F3"/>
    <w:rsid w:val="009C3C4F"/>
    <w:rsid w:val="009C64B9"/>
    <w:rsid w:val="009D6700"/>
    <w:rsid w:val="009E422B"/>
    <w:rsid w:val="009E687A"/>
    <w:rsid w:val="009F11CE"/>
    <w:rsid w:val="00A03CFD"/>
    <w:rsid w:val="00A05286"/>
    <w:rsid w:val="00A069D0"/>
    <w:rsid w:val="00A23100"/>
    <w:rsid w:val="00A2779B"/>
    <w:rsid w:val="00A40B1D"/>
    <w:rsid w:val="00A42D12"/>
    <w:rsid w:val="00A46EE1"/>
    <w:rsid w:val="00A503B9"/>
    <w:rsid w:val="00A50BFC"/>
    <w:rsid w:val="00A56725"/>
    <w:rsid w:val="00A633DF"/>
    <w:rsid w:val="00A72CD1"/>
    <w:rsid w:val="00A77341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C1CDB"/>
    <w:rsid w:val="00AD4B33"/>
    <w:rsid w:val="00AE20C6"/>
    <w:rsid w:val="00AE3612"/>
    <w:rsid w:val="00AF142F"/>
    <w:rsid w:val="00B01FD2"/>
    <w:rsid w:val="00B02353"/>
    <w:rsid w:val="00B036A8"/>
    <w:rsid w:val="00B1227B"/>
    <w:rsid w:val="00B12B6D"/>
    <w:rsid w:val="00B13DD8"/>
    <w:rsid w:val="00B208F7"/>
    <w:rsid w:val="00B22A1B"/>
    <w:rsid w:val="00B26C48"/>
    <w:rsid w:val="00B427F5"/>
    <w:rsid w:val="00B54408"/>
    <w:rsid w:val="00B6466F"/>
    <w:rsid w:val="00B804BD"/>
    <w:rsid w:val="00BA28BA"/>
    <w:rsid w:val="00BA5EDE"/>
    <w:rsid w:val="00BB0191"/>
    <w:rsid w:val="00BB3F93"/>
    <w:rsid w:val="00BB7AA9"/>
    <w:rsid w:val="00BD6780"/>
    <w:rsid w:val="00BE2FD7"/>
    <w:rsid w:val="00BF38C9"/>
    <w:rsid w:val="00C2088A"/>
    <w:rsid w:val="00C22BE5"/>
    <w:rsid w:val="00C325D4"/>
    <w:rsid w:val="00C35A72"/>
    <w:rsid w:val="00C35FB2"/>
    <w:rsid w:val="00C469B0"/>
    <w:rsid w:val="00C61683"/>
    <w:rsid w:val="00C63619"/>
    <w:rsid w:val="00C6750D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A0A"/>
    <w:rsid w:val="00CE503E"/>
    <w:rsid w:val="00CF3799"/>
    <w:rsid w:val="00CF468E"/>
    <w:rsid w:val="00D10FD1"/>
    <w:rsid w:val="00D13A79"/>
    <w:rsid w:val="00D13A90"/>
    <w:rsid w:val="00D34BF0"/>
    <w:rsid w:val="00D3789C"/>
    <w:rsid w:val="00D42C9F"/>
    <w:rsid w:val="00D508F3"/>
    <w:rsid w:val="00D564DE"/>
    <w:rsid w:val="00D63EF1"/>
    <w:rsid w:val="00D649A5"/>
    <w:rsid w:val="00D73E78"/>
    <w:rsid w:val="00D75552"/>
    <w:rsid w:val="00D77951"/>
    <w:rsid w:val="00D9718F"/>
    <w:rsid w:val="00DA0F1C"/>
    <w:rsid w:val="00DA54EC"/>
    <w:rsid w:val="00DA6F28"/>
    <w:rsid w:val="00DB3668"/>
    <w:rsid w:val="00DB3A3C"/>
    <w:rsid w:val="00DF1CC8"/>
    <w:rsid w:val="00DF55F9"/>
    <w:rsid w:val="00E039F1"/>
    <w:rsid w:val="00E059AD"/>
    <w:rsid w:val="00E14979"/>
    <w:rsid w:val="00E34FB6"/>
    <w:rsid w:val="00E37F6B"/>
    <w:rsid w:val="00E4042C"/>
    <w:rsid w:val="00E64E3E"/>
    <w:rsid w:val="00E83453"/>
    <w:rsid w:val="00E878FD"/>
    <w:rsid w:val="00E93A92"/>
    <w:rsid w:val="00E94876"/>
    <w:rsid w:val="00E97C89"/>
    <w:rsid w:val="00EA3431"/>
    <w:rsid w:val="00EC0338"/>
    <w:rsid w:val="00ED2F1F"/>
    <w:rsid w:val="00ED38B3"/>
    <w:rsid w:val="00EE52C7"/>
    <w:rsid w:val="00F03C85"/>
    <w:rsid w:val="00F11DA2"/>
    <w:rsid w:val="00F211FC"/>
    <w:rsid w:val="00F30279"/>
    <w:rsid w:val="00F37478"/>
    <w:rsid w:val="00F437B5"/>
    <w:rsid w:val="00F46177"/>
    <w:rsid w:val="00F60A11"/>
    <w:rsid w:val="00F63102"/>
    <w:rsid w:val="00F648FF"/>
    <w:rsid w:val="00F8042C"/>
    <w:rsid w:val="00F82E11"/>
    <w:rsid w:val="00F83B35"/>
    <w:rsid w:val="00F97465"/>
    <w:rsid w:val="00FA1590"/>
    <w:rsid w:val="00FA3C22"/>
    <w:rsid w:val="00FA6FD8"/>
    <w:rsid w:val="00FB2335"/>
    <w:rsid w:val="00FB24AF"/>
    <w:rsid w:val="00FB4418"/>
    <w:rsid w:val="00FB5D41"/>
    <w:rsid w:val="00FC4694"/>
    <w:rsid w:val="00FC4FC7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FFE5-5FE0-4D90-85E0-B4D9E05E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21</Pages>
  <Words>9779</Words>
  <Characters>55744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2023-07-06T14:48:00Z</cp:lastPrinted>
  <dcterms:created xsi:type="dcterms:W3CDTF">2022-03-11T11:26:00Z</dcterms:created>
  <dcterms:modified xsi:type="dcterms:W3CDTF">2023-07-25T15:01:00Z</dcterms:modified>
</cp:coreProperties>
</file>