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 xml:space="preserve">КОМИТЕТ ПО УПРАВЛЕНИЮ МУНИЦИПАЛЬНЫМ ИМУЩЕСТВОМ </w:t>
      </w:r>
      <w:r w:rsidR="00F90BCF">
        <w:rPr>
          <w:rFonts w:ascii="Times New Roman" w:hAnsi="Times New Roman" w:cs="Times New Roman"/>
          <w:i/>
        </w:rPr>
        <w:t xml:space="preserve">АДМИНИСТРАЦИИ </w:t>
      </w:r>
      <w:r w:rsidRPr="001562A6">
        <w:rPr>
          <w:rFonts w:ascii="Times New Roman" w:hAnsi="Times New Roman" w:cs="Times New Roman"/>
          <w:i/>
        </w:rPr>
        <w:t>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</w:t>
      </w:r>
      <w:r w:rsidR="001D711A">
        <w:rPr>
          <w:rFonts w:ascii="Times New Roman" w:hAnsi="Times New Roman" w:cs="Times New Roman"/>
          <w:i/>
        </w:rPr>
        <w:t xml:space="preserve"> МУНИЦИПАЛЬНЫЙ</w:t>
      </w:r>
      <w:r w:rsidRPr="001562A6">
        <w:rPr>
          <w:rFonts w:ascii="Times New Roman" w:hAnsi="Times New Roman" w:cs="Times New Roman"/>
          <w:i/>
        </w:rPr>
        <w:t xml:space="preserve"> РАЙОН</w:t>
      </w:r>
      <w:r w:rsidR="001D711A" w:rsidRPr="001D711A">
        <w:rPr>
          <w:rFonts w:ascii="Times New Roman" w:hAnsi="Times New Roman" w:cs="Times New Roman"/>
          <w:i/>
        </w:rPr>
        <w:t xml:space="preserve"> </w:t>
      </w:r>
      <w:r w:rsidR="001D711A" w:rsidRPr="001562A6">
        <w:rPr>
          <w:rFonts w:ascii="Times New Roman" w:hAnsi="Times New Roman" w:cs="Times New Roman"/>
          <w:i/>
        </w:rPr>
        <w:t>АСТРАХАНСКОЙ ОБЛАСТИ</w:t>
      </w:r>
      <w:r w:rsidRPr="001562A6">
        <w:rPr>
          <w:rFonts w:ascii="Times New Roman" w:hAnsi="Times New Roman" w:cs="Times New Roman"/>
          <w:i/>
        </w:rPr>
        <w:t xml:space="preserve">»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p w:rsidR="00B50812" w:rsidRPr="00B50812" w:rsidRDefault="00507802" w:rsidP="00976B4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D711A">
        <w:rPr>
          <w:rFonts w:ascii="Times New Roman" w:hAnsi="Times New Roman" w:cs="Times New Roman"/>
          <w:b/>
        </w:rPr>
        <w:t>Основание проведения аукциона</w:t>
      </w:r>
      <w:r w:rsidRPr="001D711A">
        <w:rPr>
          <w:rFonts w:ascii="Times New Roman" w:hAnsi="Times New Roman" w:cs="Times New Roman"/>
        </w:rPr>
        <w:t xml:space="preserve"> – </w:t>
      </w:r>
      <w:r w:rsidR="00AE3612" w:rsidRPr="001D711A">
        <w:rPr>
          <w:rFonts w:ascii="Times New Roman" w:hAnsi="Times New Roman" w:cs="Times New Roman"/>
        </w:rPr>
        <w:t xml:space="preserve">распоряжение комитета по управлению муниципальным имуществом </w:t>
      </w:r>
      <w:r w:rsidR="001D711A">
        <w:rPr>
          <w:rFonts w:ascii="Times New Roman" w:hAnsi="Times New Roman" w:cs="Times New Roman"/>
        </w:rPr>
        <w:t>администрации муниципального образования</w:t>
      </w:r>
      <w:r w:rsidR="00AE3612" w:rsidRPr="001D711A">
        <w:rPr>
          <w:rFonts w:ascii="Times New Roman" w:hAnsi="Times New Roman" w:cs="Times New Roman"/>
        </w:rPr>
        <w:t xml:space="preserve"> «</w:t>
      </w:r>
      <w:r w:rsidRPr="001D711A">
        <w:rPr>
          <w:rFonts w:ascii="Times New Roman" w:hAnsi="Times New Roman" w:cs="Times New Roman"/>
        </w:rPr>
        <w:t>Приволжск</w:t>
      </w:r>
      <w:r w:rsidR="00AE3612" w:rsidRPr="001D711A">
        <w:rPr>
          <w:rFonts w:ascii="Times New Roman" w:hAnsi="Times New Roman" w:cs="Times New Roman"/>
        </w:rPr>
        <w:t>ий</w:t>
      </w:r>
      <w:r w:rsidR="001D711A">
        <w:rPr>
          <w:rFonts w:ascii="Times New Roman" w:hAnsi="Times New Roman" w:cs="Times New Roman"/>
        </w:rPr>
        <w:t xml:space="preserve"> муниципальный</w:t>
      </w:r>
      <w:r w:rsidRPr="001D711A">
        <w:rPr>
          <w:rFonts w:ascii="Times New Roman" w:hAnsi="Times New Roman" w:cs="Times New Roman"/>
        </w:rPr>
        <w:t xml:space="preserve"> район</w:t>
      </w:r>
      <w:r w:rsidR="001D711A">
        <w:rPr>
          <w:rFonts w:ascii="Times New Roman" w:hAnsi="Times New Roman" w:cs="Times New Roman"/>
        </w:rPr>
        <w:t xml:space="preserve"> Астраханской области</w:t>
      </w:r>
      <w:r w:rsidR="00AE3612" w:rsidRPr="001D711A">
        <w:rPr>
          <w:rFonts w:ascii="Times New Roman" w:hAnsi="Times New Roman" w:cs="Times New Roman"/>
        </w:rPr>
        <w:t>»</w:t>
      </w:r>
      <w:r w:rsidRPr="001D711A">
        <w:rPr>
          <w:rFonts w:ascii="Times New Roman" w:hAnsi="Times New Roman" w:cs="Times New Roman"/>
        </w:rPr>
        <w:t xml:space="preserve"> </w:t>
      </w:r>
      <w:r w:rsidR="00773DF0" w:rsidRPr="001D711A">
        <w:rPr>
          <w:rFonts w:ascii="Times New Roman" w:hAnsi="Times New Roman" w:cs="Times New Roman"/>
        </w:rPr>
        <w:t>№</w:t>
      </w:r>
      <w:r w:rsidR="005F2B8C" w:rsidRPr="001D711A">
        <w:rPr>
          <w:rFonts w:ascii="Times New Roman" w:hAnsi="Times New Roman" w:cs="Times New Roman"/>
        </w:rPr>
        <w:t xml:space="preserve"> </w:t>
      </w:r>
      <w:r w:rsidR="00133EC1">
        <w:rPr>
          <w:rFonts w:ascii="Times New Roman" w:hAnsi="Times New Roman" w:cs="Times New Roman"/>
        </w:rPr>
        <w:t>183 р от 13.02.2023 г, № 184 р от 13.02.2023 г, № 185 р от 13.02.2023 г., № 186 р от 1302.2023 г., № 187 р от 13.02.2023 г., № 188 р от 13.02.2023 г., № 189 р от 13.02.2023 г</w:t>
      </w:r>
      <w:r w:rsidR="003C4895">
        <w:rPr>
          <w:rFonts w:ascii="Times New Roman" w:hAnsi="Times New Roman" w:cs="Times New Roman"/>
        </w:rPr>
        <w:t>.</w:t>
      </w:r>
    </w:p>
    <w:p w:rsidR="00507802" w:rsidRPr="00051FE4" w:rsidRDefault="00507802" w:rsidP="006C67AB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051FE4">
        <w:rPr>
          <w:sz w:val="22"/>
          <w:szCs w:val="22"/>
        </w:rPr>
        <w:t>Земельны</w:t>
      </w:r>
      <w:r w:rsidR="00B136F6" w:rsidRPr="00051FE4">
        <w:rPr>
          <w:sz w:val="22"/>
          <w:szCs w:val="22"/>
        </w:rPr>
        <w:t>е участ</w:t>
      </w:r>
      <w:r w:rsidR="00773DF0" w:rsidRPr="00051FE4">
        <w:rPr>
          <w:sz w:val="22"/>
          <w:szCs w:val="22"/>
        </w:rPr>
        <w:t>к</w:t>
      </w:r>
      <w:r w:rsidR="00B136F6" w:rsidRPr="00051FE4">
        <w:rPr>
          <w:sz w:val="22"/>
          <w:szCs w:val="22"/>
        </w:rPr>
        <w:t>и</w:t>
      </w:r>
      <w:r w:rsidRPr="00051FE4">
        <w:rPr>
          <w:sz w:val="22"/>
          <w:szCs w:val="22"/>
        </w:rPr>
        <w:t xml:space="preserve"> наход</w:t>
      </w:r>
      <w:r w:rsidR="00734383" w:rsidRPr="00051FE4">
        <w:rPr>
          <w:sz w:val="22"/>
          <w:szCs w:val="22"/>
        </w:rPr>
        <w:t>я</w:t>
      </w:r>
      <w:r w:rsidRPr="00051FE4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051FE4">
        <w:rPr>
          <w:sz w:val="22"/>
          <w:szCs w:val="22"/>
        </w:rPr>
        <w:t xml:space="preserve">комитета по управлению муниципальным имуществом </w:t>
      </w:r>
      <w:r w:rsidR="00133EC1">
        <w:rPr>
          <w:sz w:val="22"/>
          <w:szCs w:val="22"/>
        </w:rPr>
        <w:t>администрации муниципального образования</w:t>
      </w:r>
      <w:r w:rsidR="00AE3612" w:rsidRPr="00051FE4">
        <w:rPr>
          <w:sz w:val="22"/>
          <w:szCs w:val="22"/>
        </w:rPr>
        <w:t xml:space="preserve"> «Приволжский</w:t>
      </w:r>
      <w:r w:rsidR="00133EC1">
        <w:rPr>
          <w:sz w:val="22"/>
          <w:szCs w:val="22"/>
        </w:rPr>
        <w:t xml:space="preserve"> муниципальный</w:t>
      </w:r>
      <w:r w:rsidR="00AE3612" w:rsidRPr="00051FE4">
        <w:rPr>
          <w:sz w:val="22"/>
          <w:szCs w:val="22"/>
        </w:rPr>
        <w:t xml:space="preserve"> район</w:t>
      </w:r>
      <w:r w:rsidR="00133EC1" w:rsidRPr="00133EC1">
        <w:rPr>
          <w:sz w:val="22"/>
          <w:szCs w:val="22"/>
        </w:rPr>
        <w:t xml:space="preserve"> </w:t>
      </w:r>
      <w:r w:rsidR="00133EC1" w:rsidRPr="00051FE4">
        <w:rPr>
          <w:sz w:val="22"/>
          <w:szCs w:val="22"/>
        </w:rPr>
        <w:t>Астраханской области</w:t>
      </w:r>
      <w:r w:rsidRPr="00051FE4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 xml:space="preserve">комитет по управлению муниципальным имуществом </w:t>
      </w:r>
      <w:r w:rsidR="001D711A">
        <w:rPr>
          <w:sz w:val="22"/>
          <w:szCs w:val="22"/>
        </w:rPr>
        <w:t>администрации муниципального образования</w:t>
      </w:r>
      <w:r w:rsidR="00AE3612" w:rsidRPr="001562A6">
        <w:rPr>
          <w:sz w:val="22"/>
          <w:szCs w:val="22"/>
        </w:rPr>
        <w:t xml:space="preserve"> «Приволжский</w:t>
      </w:r>
      <w:r w:rsidR="001D711A">
        <w:rPr>
          <w:sz w:val="22"/>
          <w:szCs w:val="22"/>
        </w:rPr>
        <w:t xml:space="preserve"> муниципальный</w:t>
      </w:r>
      <w:r w:rsidR="00AE3612" w:rsidRPr="001562A6">
        <w:rPr>
          <w:sz w:val="22"/>
          <w:szCs w:val="22"/>
        </w:rPr>
        <w:t xml:space="preserve"> район</w:t>
      </w:r>
      <w:r w:rsidR="001D711A" w:rsidRPr="001D711A">
        <w:rPr>
          <w:sz w:val="22"/>
          <w:szCs w:val="22"/>
        </w:rPr>
        <w:t xml:space="preserve"> </w:t>
      </w:r>
      <w:r w:rsidR="001D711A" w:rsidRPr="001562A6">
        <w:rPr>
          <w:sz w:val="22"/>
          <w:szCs w:val="22"/>
        </w:rPr>
        <w:t>Астраханской области</w:t>
      </w:r>
      <w:r w:rsidR="00AE3612" w:rsidRPr="001562A6">
        <w:rPr>
          <w:sz w:val="22"/>
          <w:szCs w:val="22"/>
        </w:rPr>
        <w:t>».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="005611A1">
        <w:rPr>
          <w:sz w:val="22"/>
          <w:szCs w:val="22"/>
        </w:rPr>
        <w:t>–</w:t>
      </w:r>
      <w:r w:rsidRPr="001562A6">
        <w:rPr>
          <w:sz w:val="22"/>
          <w:szCs w:val="22"/>
        </w:rPr>
        <w:t xml:space="preserve"> аукцион, открытый по составу участников </w:t>
      </w:r>
      <w:r w:rsidR="0050215A" w:rsidRPr="001562A6">
        <w:rPr>
          <w:sz w:val="22"/>
          <w:szCs w:val="22"/>
        </w:rPr>
        <w:t>и по</w:t>
      </w:r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82769D">
        <w:rPr>
          <w:b/>
          <w:sz w:val="22"/>
          <w:szCs w:val="22"/>
        </w:rPr>
        <w:t>17 февраля</w:t>
      </w:r>
      <w:r w:rsidR="00976B42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1D711A">
        <w:rPr>
          <w:b/>
          <w:sz w:val="22"/>
          <w:szCs w:val="22"/>
        </w:rPr>
        <w:t>3</w:t>
      </w:r>
      <w:r w:rsidR="00976B42">
        <w:rPr>
          <w:b/>
          <w:sz w:val="22"/>
          <w:szCs w:val="22"/>
        </w:rPr>
        <w:t xml:space="preserve"> г. с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82769D">
        <w:rPr>
          <w:b/>
          <w:sz w:val="22"/>
          <w:szCs w:val="22"/>
        </w:rPr>
        <w:t>20 м</w:t>
      </w:r>
      <w:r w:rsidR="00976B42">
        <w:rPr>
          <w:b/>
          <w:sz w:val="22"/>
          <w:szCs w:val="22"/>
        </w:rPr>
        <w:t>арта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677EA9">
        <w:rPr>
          <w:b/>
          <w:sz w:val="22"/>
          <w:szCs w:val="22"/>
        </w:rPr>
        <w:t>3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B508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976B42">
        <w:rPr>
          <w:sz w:val="22"/>
          <w:szCs w:val="22"/>
        </w:rPr>
        <w:t xml:space="preserve">– </w:t>
      </w:r>
      <w:r w:rsidR="00976B42" w:rsidRPr="00B50812">
        <w:rPr>
          <w:b/>
          <w:sz w:val="22"/>
          <w:szCs w:val="22"/>
        </w:rPr>
        <w:t>подается Заявителем или его уполномоченным представителем при личном обращении в Комитет по адресу: 416450, Астраханская область, Приволжский район, с. Началово, ул. Ленина, 48, 2 этаж, кабинет 206, по</w:t>
      </w:r>
      <w:r w:rsidR="00420F21" w:rsidRPr="00B50812">
        <w:rPr>
          <w:b/>
          <w:sz w:val="22"/>
          <w:szCs w:val="22"/>
        </w:rPr>
        <w:t xml:space="preserve"> рабочим дням с 09:00 до 14</w:t>
      </w:r>
      <w:r w:rsidRPr="00B50812">
        <w:rPr>
          <w:b/>
          <w:sz w:val="22"/>
          <w:szCs w:val="22"/>
        </w:rPr>
        <w:t>:00</w:t>
      </w:r>
      <w:r w:rsidR="00163A40" w:rsidRPr="00B50812">
        <w:rPr>
          <w:b/>
          <w:sz w:val="22"/>
          <w:szCs w:val="22"/>
        </w:rPr>
        <w:t xml:space="preserve"> по</w:t>
      </w:r>
      <w:r w:rsidR="00976B42" w:rsidRPr="00B50812">
        <w:rPr>
          <w:b/>
          <w:sz w:val="22"/>
          <w:szCs w:val="22"/>
        </w:rPr>
        <w:t xml:space="preserve"> местному времени.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82769D">
        <w:rPr>
          <w:b/>
          <w:sz w:val="22"/>
          <w:szCs w:val="22"/>
        </w:rPr>
        <w:t>22</w:t>
      </w:r>
      <w:r w:rsidR="00976B42">
        <w:rPr>
          <w:b/>
          <w:sz w:val="22"/>
          <w:szCs w:val="22"/>
        </w:rPr>
        <w:t xml:space="preserve"> марта</w:t>
      </w:r>
      <w:r w:rsidR="002444BD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677EA9">
        <w:rPr>
          <w:b/>
          <w:sz w:val="22"/>
          <w:szCs w:val="22"/>
        </w:rPr>
        <w:t>23</w:t>
      </w:r>
      <w:r w:rsidRPr="001562A6">
        <w:rPr>
          <w:b/>
          <w:sz w:val="22"/>
          <w:szCs w:val="22"/>
        </w:rPr>
        <w:t xml:space="preserve"> г. в </w:t>
      </w:r>
      <w:r w:rsidR="00976B42">
        <w:rPr>
          <w:b/>
          <w:sz w:val="22"/>
          <w:szCs w:val="22"/>
        </w:rPr>
        <w:t>10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</w:t>
      </w:r>
      <w:r w:rsidR="002444BD">
        <w:rPr>
          <w:sz w:val="22"/>
          <w:szCs w:val="22"/>
        </w:rPr>
        <w:t xml:space="preserve">ская область, Приволжский район,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76274F" w:rsidRDefault="000B00BD" w:rsidP="0076274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1D711A">
        <w:rPr>
          <w:sz w:val="22"/>
          <w:szCs w:val="22"/>
        </w:rPr>
        <w:t xml:space="preserve"> </w:t>
      </w:r>
      <w:r w:rsidR="0082769D" w:rsidRPr="00133EC1">
        <w:rPr>
          <w:b/>
          <w:sz w:val="22"/>
          <w:szCs w:val="22"/>
        </w:rPr>
        <w:t>24</w:t>
      </w:r>
      <w:r w:rsidR="001D711A" w:rsidRPr="00133EC1">
        <w:rPr>
          <w:b/>
          <w:sz w:val="22"/>
          <w:szCs w:val="22"/>
        </w:rPr>
        <w:t xml:space="preserve"> </w:t>
      </w:r>
      <w:r w:rsidR="00976B42" w:rsidRPr="00133EC1">
        <w:rPr>
          <w:b/>
          <w:sz w:val="22"/>
          <w:szCs w:val="22"/>
        </w:rPr>
        <w:t>марта</w:t>
      </w:r>
      <w:r w:rsidR="001D711A">
        <w:rPr>
          <w:sz w:val="22"/>
          <w:szCs w:val="22"/>
        </w:rPr>
        <w:t xml:space="preserve"> </w:t>
      </w:r>
      <w:r w:rsidR="001D711A" w:rsidRPr="001562A6">
        <w:rPr>
          <w:b/>
          <w:sz w:val="22"/>
          <w:szCs w:val="22"/>
        </w:rPr>
        <w:t>2023</w:t>
      </w:r>
      <w:r w:rsidRPr="001562A6">
        <w:rPr>
          <w:b/>
          <w:sz w:val="22"/>
          <w:szCs w:val="22"/>
        </w:rPr>
        <w:t xml:space="preserve"> г. в </w:t>
      </w:r>
      <w:r w:rsidR="00976B42">
        <w:rPr>
          <w:b/>
          <w:sz w:val="22"/>
          <w:szCs w:val="22"/>
        </w:rPr>
        <w:t>10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984"/>
        <w:gridCol w:w="1276"/>
        <w:gridCol w:w="1102"/>
        <w:gridCol w:w="995"/>
      </w:tblGrid>
      <w:tr w:rsidR="00DB1A4C" w:rsidRPr="001562A6" w:rsidTr="004A4004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963664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963664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963664">
              <w:rPr>
                <w:b/>
                <w:sz w:val="22"/>
                <w:szCs w:val="22"/>
              </w:rPr>
              <w:t>аукц</w:t>
            </w:r>
            <w:proofErr w:type="spellEnd"/>
            <w:r w:rsidRPr="00963664">
              <w:rPr>
                <w:b/>
                <w:sz w:val="22"/>
                <w:szCs w:val="22"/>
              </w:rPr>
              <w:t>. (руб.)</w:t>
            </w:r>
          </w:p>
        </w:tc>
      </w:tr>
      <w:tr w:rsidR="00924EC8" w:rsidRPr="001562A6" w:rsidTr="004A4004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8" w:rsidRPr="00FA4764" w:rsidRDefault="002C57F1" w:rsidP="00A7228E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муниципальный район Приволжский, сельское поселение Началовский сельсовет,</w:t>
            </w:r>
            <w:r w:rsidRPr="002C57F1">
              <w:t xml:space="preserve"> село </w:t>
            </w:r>
            <w:r>
              <w:t>Яманцуг, улица Титова, з/у 47</w:t>
            </w:r>
            <w:r w:rsidR="009067EF">
              <w:t xml:space="preserve"> </w:t>
            </w:r>
            <w:proofErr w:type="spellStart"/>
            <w:r w:rsidR="009067EF"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8" w:rsidRPr="00FA4764" w:rsidRDefault="002C57F1" w:rsidP="006A352D">
            <w:pPr>
              <w:pStyle w:val="a3"/>
              <w:ind w:left="0"/>
              <w:jc w:val="center"/>
            </w:pPr>
            <w:bookmarkStart w:id="0" w:name="_GoBack"/>
            <w:bookmarkEnd w:id="0"/>
            <w: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8" w:rsidRPr="00FA4764" w:rsidRDefault="002C57F1" w:rsidP="00A7228E">
            <w:pPr>
              <w:pStyle w:val="a3"/>
              <w:ind w:left="0"/>
              <w:jc w:val="center"/>
            </w:pPr>
            <w:r>
              <w:t>30:09:060102:891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8" w:rsidRPr="00FA4764" w:rsidRDefault="002C57F1" w:rsidP="00924EC8">
            <w:pPr>
              <w:pStyle w:val="a3"/>
              <w:ind w:left="0"/>
              <w:jc w:val="center"/>
            </w:pPr>
            <w:r>
              <w:t>292360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8" w:rsidRPr="00FA4764" w:rsidRDefault="002C57F1" w:rsidP="00773DF0">
            <w:pPr>
              <w:pStyle w:val="a3"/>
              <w:ind w:left="0"/>
              <w:jc w:val="center"/>
            </w:pPr>
            <w:r>
              <w:t>58472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8" w:rsidRPr="00FA4764" w:rsidRDefault="002C57F1" w:rsidP="005F2B8C">
            <w:pPr>
              <w:jc w:val="center"/>
            </w:pPr>
            <w:r>
              <w:t>8770</w:t>
            </w:r>
          </w:p>
        </w:tc>
      </w:tr>
      <w:tr w:rsidR="00BD08F8" w:rsidRPr="001562A6" w:rsidTr="004A4004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Pr="00FA4764" w:rsidRDefault="002C57F1" w:rsidP="00A7228E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муниципальный район Приволжский, сельское поселение Началовский сельсовет,</w:t>
            </w:r>
            <w:r w:rsidRPr="002C57F1">
              <w:t xml:space="preserve"> село </w:t>
            </w:r>
            <w:r>
              <w:t>Яманцуг, улица</w:t>
            </w:r>
            <w:r>
              <w:t xml:space="preserve"> </w:t>
            </w:r>
            <w:r w:rsidR="009067EF">
              <w:t xml:space="preserve">Центральная, з/у 11А </w:t>
            </w:r>
            <w:proofErr w:type="spellStart"/>
            <w:r w:rsidR="009067EF"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Default="009067EF" w:rsidP="006A352D">
            <w:pPr>
              <w:pStyle w:val="a3"/>
              <w:ind w:left="0"/>
              <w:jc w:val="center"/>
            </w:pPr>
            <w:r>
              <w:t>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Default="009067EF" w:rsidP="00A7228E">
            <w:pPr>
              <w:pStyle w:val="a3"/>
              <w:ind w:left="0"/>
              <w:jc w:val="center"/>
            </w:pPr>
            <w:r>
              <w:t>30:09:060102:892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Default="009067EF" w:rsidP="00924EC8">
            <w:pPr>
              <w:pStyle w:val="a3"/>
              <w:ind w:left="0"/>
              <w:jc w:val="center"/>
            </w:pPr>
            <w:r>
              <w:t>188377,20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Default="009067EF" w:rsidP="00773DF0">
            <w:pPr>
              <w:pStyle w:val="a3"/>
              <w:ind w:left="0"/>
              <w:jc w:val="center"/>
            </w:pPr>
            <w:r>
              <w:t>37675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Default="009067EF" w:rsidP="005F2B8C">
            <w:pPr>
              <w:jc w:val="center"/>
            </w:pPr>
            <w:r>
              <w:t>5651</w:t>
            </w:r>
          </w:p>
        </w:tc>
      </w:tr>
      <w:tr w:rsidR="00BD08F8" w:rsidRPr="001562A6" w:rsidTr="004A4004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Pr="00FA4764" w:rsidRDefault="002C57F1" w:rsidP="0082769D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муниципальный район Приволжский, сельское поселение Началовский сельсовет, поселок Болдинский, улица Привольная, з/у</w:t>
            </w:r>
            <w:r w:rsidRPr="002C57F1">
              <w:t xml:space="preserve"> 2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Default="0082769D" w:rsidP="006A352D">
            <w:pPr>
              <w:pStyle w:val="a3"/>
              <w:ind w:left="0"/>
              <w:jc w:val="center"/>
            </w:pPr>
            <w:r>
              <w:t>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Default="002C57F1" w:rsidP="00A7228E">
            <w:pPr>
              <w:pStyle w:val="a3"/>
              <w:ind w:left="0"/>
              <w:jc w:val="center"/>
            </w:pPr>
            <w:r>
              <w:t>30:09:060203:402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Default="0082769D" w:rsidP="00924EC8">
            <w:pPr>
              <w:pStyle w:val="a3"/>
              <w:ind w:left="0"/>
              <w:jc w:val="center"/>
            </w:pPr>
            <w:r>
              <w:t>176100,56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Default="0082769D" w:rsidP="00773DF0">
            <w:pPr>
              <w:pStyle w:val="a3"/>
              <w:ind w:left="0"/>
              <w:jc w:val="center"/>
            </w:pPr>
            <w:r>
              <w:t>35220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8" w:rsidRDefault="0082769D" w:rsidP="005F2B8C">
            <w:pPr>
              <w:jc w:val="center"/>
            </w:pPr>
            <w:r>
              <w:t>5283</w:t>
            </w:r>
          </w:p>
        </w:tc>
      </w:tr>
      <w:tr w:rsidR="0082769D" w:rsidRPr="001562A6" w:rsidTr="004A4004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D" w:rsidRDefault="002C57F1" w:rsidP="0082769D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муниципальный район Приволжский, сельское поселение Началовский сельсовет, поселок Болдинский, улица Привольная, з/у 1В </w:t>
            </w:r>
            <w:proofErr w:type="spellStart"/>
            <w: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D" w:rsidRDefault="002C57F1" w:rsidP="006A352D">
            <w:pPr>
              <w:pStyle w:val="a3"/>
              <w:ind w:left="0"/>
              <w:jc w:val="center"/>
            </w:pPr>
            <w:r>
              <w:t>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D" w:rsidRDefault="002C57F1" w:rsidP="00A7228E">
            <w:pPr>
              <w:pStyle w:val="a3"/>
              <w:ind w:left="0"/>
              <w:jc w:val="center"/>
            </w:pPr>
            <w:r>
              <w:t>30:09:060203:403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D" w:rsidRDefault="002C57F1" w:rsidP="00924EC8">
            <w:pPr>
              <w:pStyle w:val="a3"/>
              <w:ind w:left="0"/>
              <w:jc w:val="center"/>
            </w:pPr>
            <w:r>
              <w:t>176100,56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D" w:rsidRDefault="002C57F1" w:rsidP="00773DF0">
            <w:pPr>
              <w:pStyle w:val="a3"/>
              <w:ind w:left="0"/>
              <w:jc w:val="center"/>
            </w:pPr>
            <w:r>
              <w:t>35220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D" w:rsidRDefault="002C57F1" w:rsidP="005F2B8C">
            <w:pPr>
              <w:jc w:val="center"/>
            </w:pPr>
            <w:r>
              <w:t>5283</w:t>
            </w:r>
          </w:p>
        </w:tc>
      </w:tr>
      <w:tr w:rsidR="009067EF" w:rsidRPr="001562A6" w:rsidTr="004A4004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9067EF" w:rsidP="0082769D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с. Началово, ул. Космонавтов, 14 </w:t>
            </w:r>
            <w:proofErr w:type="spellStart"/>
            <w: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9C45E7" w:rsidP="006A352D">
            <w:pPr>
              <w:pStyle w:val="a3"/>
              <w:ind w:left="0"/>
              <w:jc w:val="center"/>
            </w:pPr>
            <w:r>
              <w:t>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9C45E7" w:rsidP="00A7228E">
            <w:pPr>
              <w:pStyle w:val="a3"/>
              <w:ind w:left="0"/>
              <w:jc w:val="center"/>
            </w:pPr>
            <w:r>
              <w:t>30:09:050204:99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9C45E7" w:rsidP="00924EC8">
            <w:pPr>
              <w:pStyle w:val="a3"/>
              <w:ind w:left="0"/>
              <w:jc w:val="center"/>
            </w:pPr>
            <w:r>
              <w:t>234083,16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9C45E7" w:rsidP="00773DF0">
            <w:pPr>
              <w:pStyle w:val="a3"/>
              <w:ind w:left="0"/>
              <w:jc w:val="center"/>
            </w:pPr>
            <w:r>
              <w:t>46816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9C45E7" w:rsidP="005F2B8C">
            <w:pPr>
              <w:jc w:val="center"/>
            </w:pPr>
            <w:r>
              <w:t>7022</w:t>
            </w:r>
          </w:p>
        </w:tc>
      </w:tr>
      <w:tr w:rsidR="009067EF" w:rsidRPr="001562A6" w:rsidTr="004A4004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9C45E7" w:rsidP="0082769D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с.</w:t>
            </w:r>
            <w:r>
              <w:t xml:space="preserve"> Три Протока, ул. Гагарина, 37 «а» </w:t>
            </w:r>
            <w:proofErr w:type="spellStart"/>
            <w: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Pr="009C45E7" w:rsidRDefault="009C45E7" w:rsidP="006A352D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9C45E7" w:rsidP="00A7228E">
            <w:pPr>
              <w:pStyle w:val="a3"/>
              <w:ind w:left="0"/>
              <w:jc w:val="center"/>
            </w:pPr>
            <w:r>
              <w:t>30:09:090406:52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9C45E7" w:rsidP="00924EC8">
            <w:pPr>
              <w:pStyle w:val="a3"/>
              <w:ind w:left="0"/>
              <w:jc w:val="center"/>
            </w:pPr>
            <w:r>
              <w:t>453376,44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9C45E7" w:rsidP="00773DF0">
            <w:pPr>
              <w:pStyle w:val="a3"/>
              <w:ind w:left="0"/>
              <w:jc w:val="center"/>
            </w:pPr>
            <w:r>
              <w:t>90675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9C45E7" w:rsidP="005F2B8C">
            <w:pPr>
              <w:jc w:val="center"/>
            </w:pPr>
            <w:r>
              <w:t>13601</w:t>
            </w:r>
          </w:p>
        </w:tc>
      </w:tr>
      <w:tr w:rsidR="009067EF" w:rsidRPr="001562A6" w:rsidTr="004A4004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215F88" w:rsidP="0082769D">
            <w:pPr>
              <w:pStyle w:val="a3"/>
              <w:numPr>
                <w:ilvl w:val="0"/>
                <w:numId w:val="10"/>
              </w:numPr>
              <w:ind w:left="459"/>
            </w:pPr>
            <w:r>
              <w:lastRenderedPageBreak/>
              <w:t>Астраханская область, Приволжский район</w:t>
            </w:r>
            <w:r>
              <w:t xml:space="preserve">, п. </w:t>
            </w:r>
            <w:proofErr w:type="spellStart"/>
            <w:r>
              <w:t>Нартовский</w:t>
            </w:r>
            <w:proofErr w:type="spellEnd"/>
            <w:r>
              <w:t xml:space="preserve">, ул. Береговая, 1 </w:t>
            </w:r>
            <w:proofErr w:type="spellStart"/>
            <w:r>
              <w:t>лпх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215F88" w:rsidP="006A352D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215F88" w:rsidP="00A7228E">
            <w:pPr>
              <w:pStyle w:val="a3"/>
              <w:ind w:left="0"/>
              <w:jc w:val="center"/>
            </w:pPr>
            <w:r>
              <w:t>30:09:150601:594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215F88" w:rsidP="00924EC8">
            <w:pPr>
              <w:pStyle w:val="a3"/>
              <w:ind w:left="0"/>
              <w:jc w:val="center"/>
            </w:pPr>
            <w:r>
              <w:t>196780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215F88" w:rsidP="00773DF0">
            <w:pPr>
              <w:pStyle w:val="a3"/>
              <w:ind w:left="0"/>
              <w:jc w:val="center"/>
            </w:pPr>
            <w:r>
              <w:t>39356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F" w:rsidRDefault="00215F88" w:rsidP="005F2B8C">
            <w:pPr>
              <w:jc w:val="center"/>
            </w:pPr>
            <w:r>
              <w:t>5903</w:t>
            </w:r>
          </w:p>
        </w:tc>
      </w:tr>
    </w:tbl>
    <w:p w:rsidR="00613021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383BBE" w:rsidRPr="00383BBE" w:rsidRDefault="00383BBE" w:rsidP="00383B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83BBE">
        <w:rPr>
          <w:rFonts w:ascii="Times New Roman" w:eastAsia="Times New Roman" w:hAnsi="Times New Roman" w:cs="Times New Roman"/>
          <w:b/>
          <w:bCs/>
          <w:color w:val="262626"/>
          <w:shd w:val="clear" w:color="auto" w:fill="F8F8F8"/>
        </w:rPr>
        <w:t>Ограничение прав и обременение объекта недвижимости</w:t>
      </w:r>
      <w:r w:rsidR="003C4895">
        <w:rPr>
          <w:rFonts w:ascii="Times New Roman" w:eastAsia="Times New Roman" w:hAnsi="Times New Roman" w:cs="Times New Roman"/>
          <w:b/>
          <w:bCs/>
          <w:color w:val="262626"/>
          <w:shd w:val="clear" w:color="auto" w:fill="F8F8F8"/>
        </w:rPr>
        <w:t xml:space="preserve">: </w:t>
      </w:r>
    </w:p>
    <w:p w:rsidR="002C57F1" w:rsidRPr="002C57F1" w:rsidRDefault="002C57F1" w:rsidP="009C45E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292C2F"/>
        </w:rPr>
      </w:pPr>
      <w:r>
        <w:rPr>
          <w:rFonts w:ascii="Times New Roman" w:eastAsia="Times New Roman" w:hAnsi="Times New Roman" w:cs="Times New Roman"/>
          <w:b/>
          <w:color w:val="292C2F"/>
          <w:u w:val="single"/>
        </w:rPr>
        <w:t xml:space="preserve">Лот № 3: </w:t>
      </w:r>
      <w:r w:rsidRPr="002C57F1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Земельного кодекса Российской Федерации от 26.12.2022 г.;</w:t>
      </w:r>
    </w:p>
    <w:p w:rsidR="002C57F1" w:rsidRPr="002C57F1" w:rsidRDefault="002C57F1" w:rsidP="009C45E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292C2F"/>
        </w:rPr>
      </w:pPr>
      <w:r w:rsidRPr="002C57F1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Земельного кодекса Российской Федерации от 26.12.2022 г.;</w:t>
      </w:r>
    </w:p>
    <w:p w:rsidR="002C57F1" w:rsidRPr="002C57F1" w:rsidRDefault="002C57F1" w:rsidP="009C45E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292C2F"/>
        </w:rPr>
      </w:pPr>
      <w:r w:rsidRPr="002C57F1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Земельного кодекса Российской Федерации от 26.12.2022 г.;</w:t>
      </w:r>
    </w:p>
    <w:p w:rsidR="009C45E7" w:rsidRPr="009C45E7" w:rsidRDefault="002C57F1" w:rsidP="009C45E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292C2F"/>
        </w:rPr>
      </w:pPr>
      <w:r w:rsidRPr="002C57F1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Земельного кодекса Российской Федерации от 26.12.2022 г.;</w:t>
      </w:r>
    </w:p>
    <w:p w:rsidR="00BD08F8" w:rsidRPr="00BD08F8" w:rsidRDefault="002C57F1" w:rsidP="009C45E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292C2F"/>
        </w:rPr>
      </w:pPr>
      <w:r>
        <w:rPr>
          <w:rFonts w:ascii="Times New Roman" w:eastAsia="Times New Roman" w:hAnsi="Times New Roman" w:cs="Times New Roman"/>
          <w:b/>
          <w:color w:val="292C2F"/>
          <w:u w:val="single"/>
        </w:rPr>
        <w:t>Лот № 4</w:t>
      </w:r>
      <w:r w:rsidR="003C4895">
        <w:rPr>
          <w:rFonts w:ascii="Times New Roman" w:eastAsia="Times New Roman" w:hAnsi="Times New Roman" w:cs="Times New Roman"/>
          <w:b/>
          <w:color w:val="292C2F"/>
          <w:u w:val="single"/>
        </w:rPr>
        <w:t xml:space="preserve">: </w:t>
      </w:r>
      <w:r w:rsidR="00BD08F8" w:rsidRPr="00BD08F8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Земельного кодекса Российской Федерации от 26.12.2022 г.;</w:t>
      </w:r>
    </w:p>
    <w:p w:rsidR="00BD08F8" w:rsidRDefault="00BD08F8" w:rsidP="009C45E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292C2F"/>
        </w:rPr>
      </w:pPr>
      <w:r w:rsidRPr="00BD08F8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Земельного кодекса Российской Федерации от 26.12.2022 г.</w:t>
      </w:r>
    </w:p>
    <w:p w:rsidR="009067EF" w:rsidRPr="009067EF" w:rsidRDefault="009067EF" w:rsidP="009C45E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292C2F"/>
        </w:rPr>
      </w:pPr>
      <w:r w:rsidRPr="009067EF">
        <w:rPr>
          <w:rFonts w:ascii="Times New Roman" w:eastAsia="Times New Roman" w:hAnsi="Times New Roman" w:cs="Times New Roman"/>
          <w:b/>
          <w:color w:val="292C2F"/>
          <w:u w:val="single"/>
        </w:rPr>
        <w:t>Лот № 5:</w:t>
      </w:r>
      <w:r>
        <w:rPr>
          <w:rFonts w:ascii="Times New Roman" w:eastAsia="Times New Roman" w:hAnsi="Times New Roman" w:cs="Times New Roman"/>
          <w:b/>
          <w:color w:val="292C2F"/>
        </w:rPr>
        <w:t xml:space="preserve"> </w:t>
      </w:r>
      <w:r w:rsidRPr="009067EF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Земельного кодекса Российской Федерации</w:t>
      </w:r>
      <w:r>
        <w:rPr>
          <w:rFonts w:ascii="Times New Roman" w:eastAsia="Times New Roman" w:hAnsi="Times New Roman" w:cs="Times New Roman"/>
          <w:b/>
          <w:color w:val="292C2F"/>
        </w:rPr>
        <w:t xml:space="preserve"> </w:t>
      </w:r>
      <w:r w:rsidRPr="009067EF">
        <w:rPr>
          <w:rFonts w:ascii="Times New Roman" w:eastAsia="Times New Roman" w:hAnsi="Times New Roman" w:cs="Times New Roman"/>
          <w:b/>
          <w:color w:val="292C2F"/>
        </w:rPr>
        <w:t>от 15.03.2022</w:t>
      </w:r>
      <w:r>
        <w:rPr>
          <w:rFonts w:ascii="Times New Roman" w:eastAsia="Times New Roman" w:hAnsi="Times New Roman" w:cs="Times New Roman"/>
          <w:b/>
          <w:color w:val="292C2F"/>
        </w:rPr>
        <w:t xml:space="preserve"> г.;</w:t>
      </w:r>
    </w:p>
    <w:p w:rsidR="009C45E7" w:rsidRPr="009C45E7" w:rsidRDefault="009067EF" w:rsidP="009C45E7">
      <w:pPr>
        <w:shd w:val="clear" w:color="auto" w:fill="F8F8F8"/>
        <w:spacing w:after="0"/>
        <w:rPr>
          <w:rFonts w:ascii="Times New Roman" w:eastAsia="Times New Roman" w:hAnsi="Times New Roman" w:cs="Times New Roman"/>
          <w:b/>
          <w:color w:val="292C2F"/>
        </w:rPr>
      </w:pPr>
      <w:r w:rsidRPr="009067EF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Земельного кодекса Российской Федерации</w:t>
      </w:r>
      <w:r>
        <w:rPr>
          <w:rFonts w:ascii="Times New Roman" w:eastAsia="Times New Roman" w:hAnsi="Times New Roman" w:cs="Times New Roman"/>
          <w:b/>
          <w:color w:val="292C2F"/>
        </w:rPr>
        <w:t xml:space="preserve"> </w:t>
      </w:r>
      <w:r w:rsidRPr="009067EF">
        <w:rPr>
          <w:rFonts w:ascii="Times New Roman" w:eastAsia="Times New Roman" w:hAnsi="Times New Roman" w:cs="Times New Roman"/>
          <w:b/>
          <w:color w:val="292C2F"/>
        </w:rPr>
        <w:t>от 29.08.2022</w:t>
      </w:r>
      <w:r>
        <w:rPr>
          <w:rFonts w:ascii="Times New Roman" w:eastAsia="Times New Roman" w:hAnsi="Times New Roman" w:cs="Times New Roman"/>
          <w:b/>
          <w:color w:val="292C2F"/>
        </w:rPr>
        <w:t xml:space="preserve"> г.</w:t>
      </w:r>
    </w:p>
    <w:p w:rsidR="009C45E7" w:rsidRDefault="009C45E7" w:rsidP="009C45E7">
      <w:pPr>
        <w:shd w:val="clear" w:color="auto" w:fill="F8F8F8"/>
        <w:spacing w:after="0"/>
        <w:rPr>
          <w:rFonts w:ascii="Times New Roman" w:eastAsia="Times New Roman" w:hAnsi="Times New Roman" w:cs="Times New Roman"/>
          <w:b/>
          <w:color w:val="292C2F"/>
        </w:rPr>
      </w:pPr>
      <w:r w:rsidRPr="009C45E7">
        <w:rPr>
          <w:rFonts w:ascii="Times New Roman" w:eastAsia="Times New Roman" w:hAnsi="Times New Roman" w:cs="Times New Roman"/>
          <w:b/>
          <w:color w:val="292C2F"/>
          <w:u w:val="single"/>
        </w:rPr>
        <w:t>Лот № 6:</w:t>
      </w:r>
      <w:r>
        <w:rPr>
          <w:rFonts w:ascii="Times New Roman" w:eastAsia="Times New Roman" w:hAnsi="Times New Roman" w:cs="Times New Roman"/>
          <w:b/>
          <w:color w:val="292C2F"/>
        </w:rPr>
        <w:t xml:space="preserve"> </w:t>
      </w:r>
      <w:r w:rsidRPr="009C45E7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Земельного кодекса Российской Федерации</w:t>
      </w:r>
      <w:r>
        <w:rPr>
          <w:rFonts w:ascii="Times New Roman" w:eastAsia="Times New Roman" w:hAnsi="Times New Roman" w:cs="Times New Roman"/>
          <w:b/>
          <w:color w:val="292C2F"/>
        </w:rPr>
        <w:t xml:space="preserve"> </w:t>
      </w:r>
      <w:r w:rsidRPr="009C45E7">
        <w:rPr>
          <w:rFonts w:ascii="Times New Roman" w:eastAsia="Times New Roman" w:hAnsi="Times New Roman" w:cs="Times New Roman"/>
          <w:b/>
          <w:color w:val="292C2F"/>
        </w:rPr>
        <w:t>от 26.02.2016</w:t>
      </w:r>
      <w:r>
        <w:rPr>
          <w:rFonts w:ascii="Times New Roman" w:eastAsia="Times New Roman" w:hAnsi="Times New Roman" w:cs="Times New Roman"/>
          <w:b/>
          <w:color w:val="292C2F"/>
        </w:rPr>
        <w:t xml:space="preserve"> г.</w:t>
      </w:r>
    </w:p>
    <w:p w:rsidR="00215F88" w:rsidRPr="00215F88" w:rsidRDefault="00215F88" w:rsidP="00215F88">
      <w:pPr>
        <w:shd w:val="clear" w:color="auto" w:fill="F8F8F8"/>
        <w:spacing w:after="0"/>
        <w:rPr>
          <w:rFonts w:ascii="Times New Roman" w:eastAsia="Times New Roman" w:hAnsi="Times New Roman" w:cs="Times New Roman"/>
          <w:b/>
          <w:color w:val="292C2F"/>
        </w:rPr>
      </w:pPr>
      <w:r w:rsidRPr="00215F88">
        <w:rPr>
          <w:rFonts w:ascii="Times New Roman" w:eastAsia="Times New Roman" w:hAnsi="Times New Roman" w:cs="Times New Roman"/>
          <w:b/>
          <w:color w:val="292C2F"/>
          <w:u w:val="single"/>
        </w:rPr>
        <w:t>Лот№ 7:</w:t>
      </w:r>
      <w:r>
        <w:rPr>
          <w:rFonts w:ascii="Times New Roman" w:eastAsia="Times New Roman" w:hAnsi="Times New Roman" w:cs="Times New Roman"/>
          <w:b/>
          <w:color w:val="292C2F"/>
        </w:rPr>
        <w:t xml:space="preserve"> </w:t>
      </w:r>
      <w:r w:rsidRPr="00215F88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</w:t>
      </w:r>
      <w:r>
        <w:rPr>
          <w:rFonts w:ascii="Times New Roman" w:eastAsia="Times New Roman" w:hAnsi="Times New Roman" w:cs="Times New Roman"/>
          <w:b/>
          <w:color w:val="292C2F"/>
        </w:rPr>
        <w:t xml:space="preserve">го кодекса Российской Федерации </w:t>
      </w:r>
      <w:r w:rsidRPr="00215F88">
        <w:rPr>
          <w:rFonts w:ascii="Times New Roman" w:eastAsia="Times New Roman" w:hAnsi="Times New Roman" w:cs="Times New Roman"/>
          <w:b/>
          <w:color w:val="292C2F"/>
        </w:rPr>
        <w:t>от 16.02.2016</w:t>
      </w:r>
      <w:r>
        <w:rPr>
          <w:rFonts w:ascii="Times New Roman" w:eastAsia="Times New Roman" w:hAnsi="Times New Roman" w:cs="Times New Roman"/>
          <w:b/>
          <w:color w:val="292C2F"/>
        </w:rPr>
        <w:t xml:space="preserve"> г.;</w:t>
      </w:r>
    </w:p>
    <w:p w:rsidR="00215F88" w:rsidRPr="00215F88" w:rsidRDefault="00215F88" w:rsidP="00215F88">
      <w:pPr>
        <w:shd w:val="clear" w:color="auto" w:fill="F8F8F8"/>
        <w:spacing w:after="0"/>
        <w:rPr>
          <w:rFonts w:ascii="Times New Roman" w:eastAsia="Times New Roman" w:hAnsi="Times New Roman" w:cs="Times New Roman"/>
          <w:b/>
          <w:color w:val="292C2F"/>
        </w:rPr>
      </w:pPr>
      <w:r w:rsidRPr="00215F88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</w:t>
      </w:r>
      <w:r>
        <w:rPr>
          <w:rFonts w:ascii="Times New Roman" w:eastAsia="Times New Roman" w:hAnsi="Times New Roman" w:cs="Times New Roman"/>
          <w:b/>
          <w:color w:val="292C2F"/>
        </w:rPr>
        <w:t xml:space="preserve">го кодекса Российской Федерации </w:t>
      </w:r>
      <w:r w:rsidRPr="00215F88">
        <w:rPr>
          <w:rFonts w:ascii="Times New Roman" w:eastAsia="Times New Roman" w:hAnsi="Times New Roman" w:cs="Times New Roman"/>
          <w:b/>
          <w:color w:val="292C2F"/>
        </w:rPr>
        <w:t>от 05.07.2021</w:t>
      </w:r>
      <w:r>
        <w:rPr>
          <w:rFonts w:ascii="Times New Roman" w:eastAsia="Times New Roman" w:hAnsi="Times New Roman" w:cs="Times New Roman"/>
          <w:b/>
          <w:color w:val="292C2F"/>
        </w:rPr>
        <w:t xml:space="preserve"> г.;</w:t>
      </w:r>
    </w:p>
    <w:p w:rsidR="00BD08F8" w:rsidRPr="00BD08F8" w:rsidRDefault="00215F88" w:rsidP="00215F88">
      <w:pPr>
        <w:shd w:val="clear" w:color="auto" w:fill="F8F8F8"/>
        <w:spacing w:after="0"/>
        <w:rPr>
          <w:rFonts w:ascii="Times New Roman" w:eastAsia="Times New Roman" w:hAnsi="Times New Roman" w:cs="Times New Roman"/>
          <w:b/>
          <w:color w:val="292C2F"/>
        </w:rPr>
      </w:pPr>
      <w:r w:rsidRPr="00215F88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</w:t>
      </w:r>
      <w:r>
        <w:rPr>
          <w:rFonts w:ascii="Times New Roman" w:eastAsia="Times New Roman" w:hAnsi="Times New Roman" w:cs="Times New Roman"/>
          <w:b/>
          <w:color w:val="292C2F"/>
        </w:rPr>
        <w:t xml:space="preserve">го кодекса Российской Федерации </w:t>
      </w:r>
      <w:r w:rsidRPr="00215F88">
        <w:rPr>
          <w:rFonts w:ascii="Times New Roman" w:eastAsia="Times New Roman" w:hAnsi="Times New Roman" w:cs="Times New Roman"/>
          <w:b/>
          <w:color w:val="292C2F"/>
        </w:rPr>
        <w:t>от 29.11.2022</w:t>
      </w:r>
      <w:r>
        <w:rPr>
          <w:rFonts w:ascii="Times New Roman" w:eastAsia="Times New Roman" w:hAnsi="Times New Roman" w:cs="Times New Roman"/>
          <w:b/>
          <w:color w:val="292C2F"/>
        </w:rPr>
        <w:t xml:space="preserve"> г.</w:t>
      </w:r>
    </w:p>
    <w:p w:rsidR="00613021" w:rsidRPr="001562A6" w:rsidRDefault="00613021" w:rsidP="00BD08F8">
      <w:pPr>
        <w:spacing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193F1F" w:rsidRPr="004D0E0B" w:rsidRDefault="00590A6F" w:rsidP="004D0E0B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</w:t>
      </w:r>
      <w:r w:rsidR="00A10741">
        <w:rPr>
          <w:rFonts w:ascii="Times New Roman" w:hAnsi="Times New Roman" w:cs="Times New Roman"/>
        </w:rPr>
        <w:t>МО «Началовский сельсовет», МО «</w:t>
      </w:r>
      <w:r w:rsidR="00215F88">
        <w:rPr>
          <w:rFonts w:ascii="Times New Roman" w:hAnsi="Times New Roman" w:cs="Times New Roman"/>
        </w:rPr>
        <w:t>Трехпротокский сельсовет</w:t>
      </w:r>
      <w:r w:rsidR="00A10741">
        <w:rPr>
          <w:rFonts w:ascii="Times New Roman" w:hAnsi="Times New Roman" w:cs="Times New Roman"/>
        </w:rPr>
        <w:t>»</w:t>
      </w:r>
      <w:r w:rsidR="00383BBE">
        <w:rPr>
          <w:rFonts w:ascii="Times New Roman" w:hAnsi="Times New Roman" w:cs="Times New Roman"/>
        </w:rPr>
        <w:t>, МО «</w:t>
      </w:r>
      <w:r w:rsidR="00215F88">
        <w:rPr>
          <w:rFonts w:ascii="Times New Roman" w:hAnsi="Times New Roman" w:cs="Times New Roman"/>
        </w:rPr>
        <w:t>Яксатовский сельсовет</w:t>
      </w:r>
      <w:r w:rsidR="00383BBE">
        <w:rPr>
          <w:rFonts w:ascii="Times New Roman" w:hAnsi="Times New Roman" w:cs="Times New Roman"/>
        </w:rPr>
        <w:t xml:space="preserve">» </w:t>
      </w:r>
      <w:r w:rsidR="00A10741">
        <w:rPr>
          <w:rFonts w:ascii="Times New Roman" w:hAnsi="Times New Roman" w:cs="Times New Roman"/>
        </w:rPr>
        <w:t>Приволжского</w:t>
      </w:r>
      <w:r w:rsidR="00773DF0" w:rsidRPr="001562A6">
        <w:rPr>
          <w:rFonts w:ascii="Times New Roman" w:hAnsi="Times New Roman" w:cs="Times New Roman"/>
        </w:rPr>
        <w:t xml:space="preserve">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</w:t>
      </w:r>
      <w:r w:rsidRPr="001562A6">
        <w:rPr>
          <w:rFonts w:ascii="Times New Roman" w:eastAsia="Times New Roman" w:hAnsi="Times New Roman" w:cs="Times New Roman"/>
          <w:lang w:eastAsia="ar-SA"/>
        </w:rPr>
        <w:lastRenderedPageBreak/>
        <w:t>одноквартирные</w:t>
      </w:r>
      <w:r w:rsidR="00426BED" w:rsidRPr="001562A6">
        <w:rPr>
          <w:rFonts w:ascii="Times New Roman" w:eastAsia="Times New Roman" w:hAnsi="Times New Roman" w:cs="Times New Roman"/>
          <w:lang w:eastAsia="ar-SA"/>
        </w:rPr>
        <w:t>», СНиП</w:t>
      </w:r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906D6A" w:rsidRPr="004D0E0B" w:rsidRDefault="006A0D50" w:rsidP="006C0149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703552" w:rsidRPr="006C0149" w:rsidRDefault="00C576C2" w:rsidP="006C0149">
      <w:pPr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D336CB" w:rsidRDefault="001562A6" w:rsidP="00051F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="00163A40">
        <w:rPr>
          <w:rFonts w:ascii="Times New Roman" w:hAnsi="Times New Roman" w:cs="Times New Roman"/>
        </w:rPr>
        <w:t>а</w:t>
      </w:r>
      <w:r w:rsidR="007E3FE7">
        <w:rPr>
          <w:rFonts w:ascii="Times New Roman" w:hAnsi="Times New Roman" w:cs="Times New Roman"/>
        </w:rPr>
        <w:t>ц</w:t>
      </w:r>
      <w:r w:rsidR="00906D6A">
        <w:rPr>
          <w:rFonts w:ascii="Times New Roman" w:hAnsi="Times New Roman" w:cs="Times New Roman"/>
        </w:rPr>
        <w:t xml:space="preserve">ии МО «Приволжский район» </w:t>
      </w:r>
      <w:r w:rsidR="00363DB7">
        <w:rPr>
          <w:rFonts w:ascii="Times New Roman" w:hAnsi="Times New Roman" w:cs="Times New Roman"/>
        </w:rPr>
        <w:t xml:space="preserve">№ </w:t>
      </w:r>
      <w:r w:rsidR="00215F88">
        <w:rPr>
          <w:rFonts w:ascii="Times New Roman" w:hAnsi="Times New Roman" w:cs="Times New Roman"/>
        </w:rPr>
        <w:t xml:space="preserve">60 от 14.02.2023 г., № 61 от 14.02.2023 г., </w:t>
      </w:r>
      <w:r w:rsidR="006B5591">
        <w:rPr>
          <w:rFonts w:ascii="Times New Roman" w:hAnsi="Times New Roman" w:cs="Times New Roman"/>
        </w:rPr>
        <w:t>№ 43 03.03.2023 г</w:t>
      </w:r>
      <w:r w:rsidR="00383BBE">
        <w:rPr>
          <w:rFonts w:ascii="Times New Roman" w:hAnsi="Times New Roman" w:cs="Times New Roman"/>
        </w:rPr>
        <w:t>.</w:t>
      </w:r>
      <w:r w:rsidR="00200418">
        <w:rPr>
          <w:rFonts w:ascii="Times New Roman" w:hAnsi="Times New Roman" w:cs="Times New Roman"/>
        </w:rPr>
        <w:t>)</w:t>
      </w:r>
    </w:p>
    <w:p w:rsidR="0010780B" w:rsidRDefault="0010780B" w:rsidP="00051F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Подключение (технологическое присоединение) объектов к сетям инженерно-технического</w:t>
      </w:r>
      <w:r w:rsidR="007D5B5F">
        <w:rPr>
          <w:rFonts w:ascii="Times New Roman" w:hAnsi="Times New Roman" w:cs="Times New Roman"/>
        </w:rPr>
        <w:t xml:space="preserve"> обеспечения сообщает, что расстояние от центральной линии водоснабжения до земельных участков расстояние от центральной линии водоснабжения до земельных участков расположенных по адресам составляет</w:t>
      </w:r>
      <w:r w:rsidR="00133EC1">
        <w:rPr>
          <w:rFonts w:ascii="Times New Roman" w:hAnsi="Times New Roman" w:cs="Times New Roman"/>
        </w:rPr>
        <w:t xml:space="preserve"> (письмо МБУ МО «Приволжский муниципальный район Астраханской области «БИОМ»» от 03.02.2023 г. № 46)</w:t>
      </w:r>
      <w:r w:rsidR="007D5B5F">
        <w:rPr>
          <w:rFonts w:ascii="Times New Roman" w:hAnsi="Times New Roman" w:cs="Times New Roman"/>
        </w:rPr>
        <w:t>:</w:t>
      </w:r>
    </w:p>
    <w:p w:rsidR="007D5B5F" w:rsidRDefault="007D5B5F" w:rsidP="007D5B5F">
      <w:pPr>
        <w:pStyle w:val="a3"/>
        <w:numPr>
          <w:ilvl w:val="0"/>
          <w:numId w:val="16"/>
        </w:numPr>
        <w:jc w:val="both"/>
      </w:pPr>
      <w:r>
        <w:t>Астраханская область, муниципальный район Приволжский, сельское поселение Началовский сельсовет,</w:t>
      </w:r>
      <w:r w:rsidRPr="002C57F1">
        <w:t xml:space="preserve"> село </w:t>
      </w:r>
      <w:r>
        <w:t>Яманцуг, улица Титова, з/у 47</w:t>
      </w:r>
      <w:r>
        <w:t xml:space="preserve"> (кадастровый номер 30:09:060102:891) составляет – 70 м, </w:t>
      </w:r>
      <w:proofErr w:type="spellStart"/>
      <w:r>
        <w:t>Ду</w:t>
      </w:r>
      <w:proofErr w:type="spellEnd"/>
      <w:r>
        <w:t xml:space="preserve"> 860 ПНД;</w:t>
      </w:r>
    </w:p>
    <w:p w:rsidR="007D5B5F" w:rsidRDefault="007D5B5F" w:rsidP="007D5B5F">
      <w:pPr>
        <w:pStyle w:val="a3"/>
        <w:numPr>
          <w:ilvl w:val="0"/>
          <w:numId w:val="16"/>
        </w:numPr>
        <w:jc w:val="both"/>
      </w:pPr>
      <w:r>
        <w:t xml:space="preserve"> </w:t>
      </w:r>
      <w:r>
        <w:t>Астраханская область, муниципальный район Приволжский, сельское поселение Началовский сельсовет, поселок Болдинский, улица Привольная, з/у</w:t>
      </w:r>
      <w:r w:rsidRPr="002C57F1">
        <w:t xml:space="preserve"> 2</w:t>
      </w:r>
      <w:r>
        <w:t>А</w:t>
      </w:r>
      <w:r>
        <w:t xml:space="preserve"> (кадастровый номер 30:09:060203:402) – сети по данному адресу отсутствуют;</w:t>
      </w:r>
    </w:p>
    <w:p w:rsidR="007D5B5F" w:rsidRDefault="007D5B5F" w:rsidP="007D5B5F">
      <w:pPr>
        <w:pStyle w:val="a3"/>
        <w:numPr>
          <w:ilvl w:val="0"/>
          <w:numId w:val="16"/>
        </w:numPr>
        <w:jc w:val="both"/>
      </w:pPr>
      <w:r>
        <w:t>Астраханская область, муниципальный район Приволжский, сельское поселение Началовский сельсовет, поселок Болдинский, улица Привольная, з/у 1В</w:t>
      </w:r>
      <w:r>
        <w:t xml:space="preserve"> </w:t>
      </w:r>
      <w:r>
        <w:t>(ка</w:t>
      </w:r>
      <w:r>
        <w:t>дастровый номер 30:09:060203:403)</w:t>
      </w:r>
    </w:p>
    <w:p w:rsidR="007D5B5F" w:rsidRDefault="007D5B5F" w:rsidP="007D5B5F">
      <w:pPr>
        <w:pStyle w:val="a3"/>
        <w:ind w:left="1068"/>
        <w:jc w:val="both"/>
      </w:pPr>
      <w:r>
        <w:t>– сети по данному адресу отсутствуют;</w:t>
      </w:r>
    </w:p>
    <w:p w:rsidR="007D5B5F" w:rsidRPr="007D5B5F" w:rsidRDefault="007D5B5F" w:rsidP="007D5B5F">
      <w:pPr>
        <w:pStyle w:val="a3"/>
        <w:numPr>
          <w:ilvl w:val="0"/>
          <w:numId w:val="16"/>
        </w:numPr>
        <w:jc w:val="both"/>
      </w:pPr>
      <w:r>
        <w:t>Астраханская область, муниципальный район Приволжский, сельское поселение Началовский сельсовет,</w:t>
      </w:r>
      <w:r w:rsidRPr="002C57F1">
        <w:t xml:space="preserve"> село </w:t>
      </w:r>
      <w:r>
        <w:t>Яманцуг, улица Центральная, з/у 11А</w:t>
      </w:r>
      <w:r>
        <w:t xml:space="preserve"> </w:t>
      </w:r>
      <w:r>
        <w:t>(ка</w:t>
      </w:r>
      <w:r>
        <w:t>дастровый номер 30:09:060102:892</w:t>
      </w:r>
      <w:r>
        <w:t>)</w:t>
      </w:r>
      <w:r>
        <w:t xml:space="preserve"> составляет – 110 м, </w:t>
      </w:r>
      <w:proofErr w:type="spellStart"/>
      <w:r>
        <w:t>Ду</w:t>
      </w:r>
      <w:proofErr w:type="spellEnd"/>
      <w:r>
        <w:t xml:space="preserve"> – 160 ПНД</w:t>
      </w:r>
      <w:r w:rsidR="00133EC1">
        <w:t xml:space="preserve">. </w:t>
      </w:r>
    </w:p>
    <w:p w:rsidR="00383BBE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Плата за подключения объекта к сетям инженерно-техничес</w:t>
      </w:r>
      <w:r w:rsidR="00383BBE">
        <w:rPr>
          <w:rFonts w:ascii="Times New Roman" w:hAnsi="Times New Roman" w:cs="Times New Roman"/>
        </w:rPr>
        <w:t>кого обеспечения не определена.</w:t>
      </w:r>
    </w:p>
    <w:p w:rsidR="00D336CB" w:rsidRPr="00383BBE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83BBE">
        <w:rPr>
          <w:rFonts w:ascii="Times New Roman" w:hAnsi="Times New Roman" w:cs="Times New Roman"/>
          <w:b/>
          <w:u w:val="single"/>
        </w:rPr>
        <w:t>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 xml:space="preserve">этаж, </w:t>
      </w:r>
      <w:proofErr w:type="spellStart"/>
      <w:r w:rsidRPr="001562A6">
        <w:rPr>
          <w:rFonts w:ascii="Times New Roman" w:hAnsi="Times New Roman" w:cs="Times New Roman"/>
        </w:rPr>
        <w:t>каб</w:t>
      </w:r>
      <w:proofErr w:type="spellEnd"/>
      <w:r w:rsidRPr="001562A6">
        <w:rPr>
          <w:rFonts w:ascii="Times New Roman" w:hAnsi="Times New Roman" w:cs="Times New Roman"/>
        </w:rPr>
        <w:t>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663291" w:rsidRPr="007D61BB" w:rsidRDefault="000B00BD" w:rsidP="007D6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lastRenderedPageBreak/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383BBE" w:rsidRPr="00383BBE" w:rsidRDefault="00507802" w:rsidP="00B91C29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="000B19C5" w:rsidRPr="001562A6">
        <w:rPr>
          <w:rFonts w:ascii="Times New Roman" w:hAnsi="Times New Roman" w:cs="Times New Roman"/>
        </w:rPr>
        <w:t>в</w:t>
      </w:r>
      <w:proofErr w:type="gramEnd"/>
      <w:r w:rsidR="000B19C5" w:rsidRPr="001562A6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</w:t>
      </w:r>
    </w:p>
    <w:p w:rsidR="00507802" w:rsidRPr="00383BBE" w:rsidRDefault="00507802" w:rsidP="00B91C29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BBE">
        <w:rPr>
          <w:rFonts w:ascii="Times New Roman" w:hAnsi="Times New Roman" w:cs="Times New Roman"/>
        </w:rPr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r w:rsidR="00F530AC" w:rsidRPr="001562A6">
        <w:rPr>
          <w:rFonts w:ascii="Times New Roman" w:hAnsi="Times New Roman" w:cs="Times New Roman"/>
        </w:rPr>
        <w:t>Астрахань, БИК</w:t>
      </w:r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ОКТМО </w:t>
      </w:r>
      <w:r w:rsidR="00F530AC" w:rsidRPr="001562A6">
        <w:rPr>
          <w:rFonts w:ascii="Times New Roman" w:hAnsi="Times New Roman" w:cs="Times New Roman"/>
          <w:color w:val="548DD4" w:themeColor="text2" w:themeTint="99"/>
        </w:rPr>
        <w:t>12642432 КБК</w:t>
      </w:r>
      <w:r w:rsidRPr="001562A6">
        <w:rPr>
          <w:rFonts w:ascii="Times New Roman" w:hAnsi="Times New Roman" w:cs="Times New Roman"/>
        </w:rPr>
        <w:t xml:space="preserve"> 220 117 0505 0050 000 180, ИНН 3009005626 КПП 300901001. </w:t>
      </w:r>
      <w:r w:rsidRPr="001562A6">
        <w:rPr>
          <w:rFonts w:ascii="Times New Roman" w:hAnsi="Times New Roman" w:cs="Times New Roman"/>
          <w:b/>
        </w:rPr>
        <w:t>Назначение 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215F88">
        <w:rPr>
          <w:rFonts w:ascii="Times New Roman" w:hAnsi="Times New Roman" w:cs="Times New Roman"/>
          <w:b/>
        </w:rPr>
        <w:t>22</w:t>
      </w:r>
      <w:r w:rsidR="008349DE">
        <w:rPr>
          <w:rFonts w:ascii="Times New Roman" w:hAnsi="Times New Roman" w:cs="Times New Roman"/>
          <w:b/>
        </w:rPr>
        <w:t xml:space="preserve"> марта</w:t>
      </w:r>
      <w:r w:rsidR="004D0E0B">
        <w:rPr>
          <w:rFonts w:ascii="Times New Roman" w:hAnsi="Times New Roman" w:cs="Times New Roman"/>
          <w:b/>
        </w:rPr>
        <w:t xml:space="preserve"> </w:t>
      </w:r>
      <w:r w:rsidR="001D711A">
        <w:rPr>
          <w:rFonts w:ascii="Times New Roman" w:hAnsi="Times New Roman" w:cs="Times New Roman"/>
          <w:b/>
        </w:rPr>
        <w:t>2023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426BED" w:rsidRPr="001562A6">
        <w:rPr>
          <w:rFonts w:ascii="Times New Roman" w:hAnsi="Times New Roman" w:cs="Times New Roman"/>
        </w:rPr>
        <w:t>аукционе, осуществляется</w:t>
      </w:r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r w:rsidR="00426BED" w:rsidRPr="001562A6">
        <w:rPr>
          <w:rFonts w:ascii="Times New Roman" w:hAnsi="Times New Roman" w:cs="Times New Roman"/>
        </w:rPr>
        <w:t>продажи земельного</w:t>
      </w:r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r w:rsidR="00426BED" w:rsidRPr="001562A6">
        <w:rPr>
          <w:rFonts w:ascii="Times New Roman" w:hAnsi="Times New Roman" w:cs="Times New Roman"/>
        </w:rPr>
        <w:t>МО 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r w:rsidR="00426BED" w:rsidRPr="001562A6">
        <w:rPr>
          <w:rFonts w:ascii="Times New Roman" w:hAnsi="Times New Roman" w:cs="Times New Roman"/>
        </w:rPr>
        <w:t>счет оплаты</w:t>
      </w:r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664" w:rsidRPr="001562A6" w:rsidRDefault="00963664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562A6" w:rsidRDefault="00426BED" w:rsidP="005078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="00361367"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</w:t>
      </w:r>
      <w:r w:rsidR="00963664">
        <w:rPr>
          <w:rFonts w:ascii="Times New Roman" w:hAnsi="Times New Roman" w:cs="Times New Roman"/>
        </w:rPr>
        <w:t xml:space="preserve">             </w:t>
      </w:r>
      <w:r w:rsidR="001562A6">
        <w:rPr>
          <w:rFonts w:ascii="Times New Roman" w:hAnsi="Times New Roman" w:cs="Times New Roman"/>
        </w:rPr>
        <w:t xml:space="preserve">   </w:t>
      </w:r>
      <w:r w:rsidR="00963664">
        <w:rPr>
          <w:rFonts w:ascii="Times New Roman" w:hAnsi="Times New Roman" w:cs="Times New Roman"/>
        </w:rPr>
        <w:t>Е.Ю. Емельянова</w:t>
      </w: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A64A0"/>
    <w:multiLevelType w:val="hybridMultilevel"/>
    <w:tmpl w:val="A16056D6"/>
    <w:lvl w:ilvl="0" w:tplc="355E9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3D407478"/>
    <w:multiLevelType w:val="hybridMultilevel"/>
    <w:tmpl w:val="DB169566"/>
    <w:lvl w:ilvl="0" w:tplc="E904CA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4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51FE4"/>
    <w:rsid w:val="00061F4B"/>
    <w:rsid w:val="000628DD"/>
    <w:rsid w:val="000833C1"/>
    <w:rsid w:val="000835E1"/>
    <w:rsid w:val="000A4718"/>
    <w:rsid w:val="000B00BD"/>
    <w:rsid w:val="000B19C5"/>
    <w:rsid w:val="000D05DA"/>
    <w:rsid w:val="000D4711"/>
    <w:rsid w:val="000D4B6D"/>
    <w:rsid w:val="000E102A"/>
    <w:rsid w:val="000F7564"/>
    <w:rsid w:val="0010525C"/>
    <w:rsid w:val="0010780B"/>
    <w:rsid w:val="0011652C"/>
    <w:rsid w:val="00133EC1"/>
    <w:rsid w:val="00154173"/>
    <w:rsid w:val="001562A6"/>
    <w:rsid w:val="00157C51"/>
    <w:rsid w:val="001621B9"/>
    <w:rsid w:val="00163A40"/>
    <w:rsid w:val="0017632A"/>
    <w:rsid w:val="0018228C"/>
    <w:rsid w:val="00193F1F"/>
    <w:rsid w:val="00195538"/>
    <w:rsid w:val="001A3A99"/>
    <w:rsid w:val="001C04CC"/>
    <w:rsid w:val="001D1DDC"/>
    <w:rsid w:val="001D4DF7"/>
    <w:rsid w:val="001D711A"/>
    <w:rsid w:val="001E3448"/>
    <w:rsid w:val="00200418"/>
    <w:rsid w:val="0020361A"/>
    <w:rsid w:val="00206CD8"/>
    <w:rsid w:val="00207AF9"/>
    <w:rsid w:val="00215F88"/>
    <w:rsid w:val="00216765"/>
    <w:rsid w:val="00227182"/>
    <w:rsid w:val="002444BD"/>
    <w:rsid w:val="00251B7E"/>
    <w:rsid w:val="00257EB3"/>
    <w:rsid w:val="00282125"/>
    <w:rsid w:val="002962B2"/>
    <w:rsid w:val="00296F5E"/>
    <w:rsid w:val="002A1472"/>
    <w:rsid w:val="002B7BD0"/>
    <w:rsid w:val="002C57F1"/>
    <w:rsid w:val="002D176C"/>
    <w:rsid w:val="002D7430"/>
    <w:rsid w:val="002D7846"/>
    <w:rsid w:val="002E1F5D"/>
    <w:rsid w:val="00306992"/>
    <w:rsid w:val="0035230B"/>
    <w:rsid w:val="00356F02"/>
    <w:rsid w:val="003605E6"/>
    <w:rsid w:val="00361367"/>
    <w:rsid w:val="00363DB7"/>
    <w:rsid w:val="00375CF9"/>
    <w:rsid w:val="00383BBE"/>
    <w:rsid w:val="003905FC"/>
    <w:rsid w:val="003B5BBB"/>
    <w:rsid w:val="003C4895"/>
    <w:rsid w:val="003C4FF9"/>
    <w:rsid w:val="003D6CD2"/>
    <w:rsid w:val="003E7DAC"/>
    <w:rsid w:val="00402E7D"/>
    <w:rsid w:val="00420F21"/>
    <w:rsid w:val="00426BED"/>
    <w:rsid w:val="00444F7C"/>
    <w:rsid w:val="00464B68"/>
    <w:rsid w:val="00483D7A"/>
    <w:rsid w:val="004A4004"/>
    <w:rsid w:val="004B1929"/>
    <w:rsid w:val="004B3A30"/>
    <w:rsid w:val="004B7CFB"/>
    <w:rsid w:val="004C5AE0"/>
    <w:rsid w:val="004D0E0B"/>
    <w:rsid w:val="004D0EE8"/>
    <w:rsid w:val="00500FD3"/>
    <w:rsid w:val="0050215A"/>
    <w:rsid w:val="00507802"/>
    <w:rsid w:val="00515E4A"/>
    <w:rsid w:val="00525442"/>
    <w:rsid w:val="00530195"/>
    <w:rsid w:val="0053779F"/>
    <w:rsid w:val="00537992"/>
    <w:rsid w:val="005611A1"/>
    <w:rsid w:val="005807DA"/>
    <w:rsid w:val="00590A6F"/>
    <w:rsid w:val="005928A3"/>
    <w:rsid w:val="005B7E53"/>
    <w:rsid w:val="005C0C0B"/>
    <w:rsid w:val="005C5528"/>
    <w:rsid w:val="005D3342"/>
    <w:rsid w:val="005E4712"/>
    <w:rsid w:val="005F2B8C"/>
    <w:rsid w:val="005F2D29"/>
    <w:rsid w:val="005F364E"/>
    <w:rsid w:val="005F44E1"/>
    <w:rsid w:val="005F4E39"/>
    <w:rsid w:val="005F7E8F"/>
    <w:rsid w:val="00613021"/>
    <w:rsid w:val="006131C7"/>
    <w:rsid w:val="00627CB1"/>
    <w:rsid w:val="0063213B"/>
    <w:rsid w:val="00637282"/>
    <w:rsid w:val="00662495"/>
    <w:rsid w:val="00663291"/>
    <w:rsid w:val="00671A50"/>
    <w:rsid w:val="006764C6"/>
    <w:rsid w:val="00677EA9"/>
    <w:rsid w:val="00694A5D"/>
    <w:rsid w:val="00696308"/>
    <w:rsid w:val="006A0D50"/>
    <w:rsid w:val="006A41D0"/>
    <w:rsid w:val="006B01D6"/>
    <w:rsid w:val="006B5591"/>
    <w:rsid w:val="006B5F71"/>
    <w:rsid w:val="006C0149"/>
    <w:rsid w:val="006C0D37"/>
    <w:rsid w:val="006D3B30"/>
    <w:rsid w:val="006F2615"/>
    <w:rsid w:val="00703552"/>
    <w:rsid w:val="00710363"/>
    <w:rsid w:val="0072582D"/>
    <w:rsid w:val="00734383"/>
    <w:rsid w:val="00736958"/>
    <w:rsid w:val="0074161D"/>
    <w:rsid w:val="007417EC"/>
    <w:rsid w:val="00747C16"/>
    <w:rsid w:val="00751FF0"/>
    <w:rsid w:val="0075535A"/>
    <w:rsid w:val="0076274F"/>
    <w:rsid w:val="00771D92"/>
    <w:rsid w:val="00773DF0"/>
    <w:rsid w:val="00794466"/>
    <w:rsid w:val="007A5088"/>
    <w:rsid w:val="007C0FA4"/>
    <w:rsid w:val="007C197D"/>
    <w:rsid w:val="007C22DA"/>
    <w:rsid w:val="007C2D03"/>
    <w:rsid w:val="007C5D1E"/>
    <w:rsid w:val="007D5B5F"/>
    <w:rsid w:val="007D61BB"/>
    <w:rsid w:val="007E3FE7"/>
    <w:rsid w:val="007F33CD"/>
    <w:rsid w:val="008039C9"/>
    <w:rsid w:val="00804F83"/>
    <w:rsid w:val="00814208"/>
    <w:rsid w:val="0082769D"/>
    <w:rsid w:val="008349DE"/>
    <w:rsid w:val="008358C7"/>
    <w:rsid w:val="00874E86"/>
    <w:rsid w:val="00887098"/>
    <w:rsid w:val="008A3229"/>
    <w:rsid w:val="008A3EA8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8E5036"/>
    <w:rsid w:val="009067EF"/>
    <w:rsid w:val="00906D6A"/>
    <w:rsid w:val="009224F3"/>
    <w:rsid w:val="00924EC8"/>
    <w:rsid w:val="00925B95"/>
    <w:rsid w:val="00935844"/>
    <w:rsid w:val="009518E8"/>
    <w:rsid w:val="00953EE2"/>
    <w:rsid w:val="00963664"/>
    <w:rsid w:val="00976B42"/>
    <w:rsid w:val="0098352E"/>
    <w:rsid w:val="00991DCE"/>
    <w:rsid w:val="0099419E"/>
    <w:rsid w:val="009A4E20"/>
    <w:rsid w:val="009A6537"/>
    <w:rsid w:val="009A6C7E"/>
    <w:rsid w:val="009B68FC"/>
    <w:rsid w:val="009C45E7"/>
    <w:rsid w:val="009D021D"/>
    <w:rsid w:val="009E241C"/>
    <w:rsid w:val="009F6D82"/>
    <w:rsid w:val="00A06EEC"/>
    <w:rsid w:val="00A10741"/>
    <w:rsid w:val="00A23643"/>
    <w:rsid w:val="00A27D5C"/>
    <w:rsid w:val="00A31F3B"/>
    <w:rsid w:val="00A35877"/>
    <w:rsid w:val="00A44CA5"/>
    <w:rsid w:val="00A45EAC"/>
    <w:rsid w:val="00A503B9"/>
    <w:rsid w:val="00A50403"/>
    <w:rsid w:val="00A627E0"/>
    <w:rsid w:val="00A7228E"/>
    <w:rsid w:val="00A739D0"/>
    <w:rsid w:val="00A77341"/>
    <w:rsid w:val="00A8566F"/>
    <w:rsid w:val="00A85E67"/>
    <w:rsid w:val="00AA4029"/>
    <w:rsid w:val="00AB15E8"/>
    <w:rsid w:val="00AC34A5"/>
    <w:rsid w:val="00AC5482"/>
    <w:rsid w:val="00AE3612"/>
    <w:rsid w:val="00AE5E64"/>
    <w:rsid w:val="00AF142F"/>
    <w:rsid w:val="00B136F6"/>
    <w:rsid w:val="00B14EEA"/>
    <w:rsid w:val="00B43664"/>
    <w:rsid w:val="00B44021"/>
    <w:rsid w:val="00B50812"/>
    <w:rsid w:val="00B54788"/>
    <w:rsid w:val="00B817F2"/>
    <w:rsid w:val="00B82B88"/>
    <w:rsid w:val="00B840CE"/>
    <w:rsid w:val="00B8638C"/>
    <w:rsid w:val="00B8783D"/>
    <w:rsid w:val="00B95552"/>
    <w:rsid w:val="00BA019F"/>
    <w:rsid w:val="00BA555C"/>
    <w:rsid w:val="00BC3A3A"/>
    <w:rsid w:val="00BD08F8"/>
    <w:rsid w:val="00BD3A93"/>
    <w:rsid w:val="00BD6780"/>
    <w:rsid w:val="00BE3183"/>
    <w:rsid w:val="00BF3D0E"/>
    <w:rsid w:val="00C10441"/>
    <w:rsid w:val="00C314F9"/>
    <w:rsid w:val="00C405DA"/>
    <w:rsid w:val="00C462F3"/>
    <w:rsid w:val="00C47F4B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4573"/>
    <w:rsid w:val="00CB7F4F"/>
    <w:rsid w:val="00CD370D"/>
    <w:rsid w:val="00CD438F"/>
    <w:rsid w:val="00CE0F28"/>
    <w:rsid w:val="00D04AEC"/>
    <w:rsid w:val="00D1077C"/>
    <w:rsid w:val="00D25641"/>
    <w:rsid w:val="00D336CB"/>
    <w:rsid w:val="00D4102B"/>
    <w:rsid w:val="00D4479E"/>
    <w:rsid w:val="00D73F1A"/>
    <w:rsid w:val="00D75C20"/>
    <w:rsid w:val="00D85293"/>
    <w:rsid w:val="00DB1A4C"/>
    <w:rsid w:val="00DE7B3A"/>
    <w:rsid w:val="00DF532D"/>
    <w:rsid w:val="00DF55F9"/>
    <w:rsid w:val="00DF7F58"/>
    <w:rsid w:val="00E01BF4"/>
    <w:rsid w:val="00E03E7B"/>
    <w:rsid w:val="00E04659"/>
    <w:rsid w:val="00E07953"/>
    <w:rsid w:val="00E46F14"/>
    <w:rsid w:val="00E64833"/>
    <w:rsid w:val="00E64E3E"/>
    <w:rsid w:val="00E700D3"/>
    <w:rsid w:val="00E74992"/>
    <w:rsid w:val="00E9573C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30AC"/>
    <w:rsid w:val="00F54096"/>
    <w:rsid w:val="00F6048A"/>
    <w:rsid w:val="00F6481B"/>
    <w:rsid w:val="00F67436"/>
    <w:rsid w:val="00F90BCF"/>
    <w:rsid w:val="00F92D8B"/>
    <w:rsid w:val="00F931B4"/>
    <w:rsid w:val="00F93A51"/>
    <w:rsid w:val="00F93CDF"/>
    <w:rsid w:val="00FA3BE5"/>
    <w:rsid w:val="00FA4764"/>
    <w:rsid w:val="00FC6920"/>
    <w:rsid w:val="00FE737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2">
    <w:name w:val="heading 2"/>
    <w:basedOn w:val="a"/>
    <w:next w:val="a"/>
    <w:link w:val="20"/>
    <w:uiPriority w:val="9"/>
    <w:unhideWhenUsed/>
    <w:qFormat/>
    <w:rsid w:val="007F3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3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F3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F3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33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7F33CD"/>
    <w:pPr>
      <w:spacing w:after="0" w:line="240" w:lineRule="auto"/>
    </w:pPr>
  </w:style>
  <w:style w:type="character" w:customStyle="1" w:styleId="build-card-wrapperinfoulsubinfoname">
    <w:name w:val="build-card-wrapper__info__ul__subinfo__name"/>
    <w:basedOn w:val="a0"/>
    <w:rsid w:val="0038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9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8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1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8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9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5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5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1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6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71F1-F286-4102-8FEB-9F264972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1300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2022-09-06T09:36:00Z</cp:lastPrinted>
  <dcterms:created xsi:type="dcterms:W3CDTF">2022-07-06T07:39:00Z</dcterms:created>
  <dcterms:modified xsi:type="dcterms:W3CDTF">2023-02-14T11:53:00Z</dcterms:modified>
</cp:coreProperties>
</file>