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E261CA">
        <w:rPr>
          <w:sz w:val="24"/>
          <w:szCs w:val="24"/>
        </w:rPr>
        <w:t>1395</w:t>
      </w:r>
      <w:r w:rsidR="00F47763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360DDB">
        <w:rPr>
          <w:sz w:val="24"/>
          <w:szCs w:val="24"/>
        </w:rPr>
        <w:t>21</w:t>
      </w:r>
      <w:r w:rsidR="0006795F">
        <w:rPr>
          <w:sz w:val="24"/>
          <w:szCs w:val="24"/>
        </w:rPr>
        <w:t>.06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06795F">
        <w:rPr>
          <w:sz w:val="24"/>
          <w:szCs w:val="24"/>
        </w:rPr>
        <w:t xml:space="preserve">, № </w:t>
      </w:r>
      <w:r w:rsidR="00E261CA">
        <w:rPr>
          <w:sz w:val="24"/>
          <w:szCs w:val="24"/>
        </w:rPr>
        <w:t>1708 р от 25.07.2022 г., №1819 от 02.08.2022 г., №1820 р от 02.08.2022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261CA">
        <w:rPr>
          <w:sz w:val="24"/>
          <w:szCs w:val="24"/>
        </w:rPr>
        <w:t>05</w:t>
      </w:r>
      <w:r w:rsidR="006F00FE">
        <w:rPr>
          <w:sz w:val="24"/>
          <w:szCs w:val="24"/>
        </w:rPr>
        <w:t xml:space="preserve"> </w:t>
      </w:r>
      <w:r w:rsidR="00E261C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261CA">
        <w:rPr>
          <w:sz w:val="24"/>
          <w:szCs w:val="24"/>
        </w:rPr>
        <w:t>05</w:t>
      </w:r>
      <w:r w:rsidR="006F00FE">
        <w:rPr>
          <w:sz w:val="24"/>
          <w:szCs w:val="24"/>
        </w:rPr>
        <w:t xml:space="preserve"> </w:t>
      </w:r>
      <w:r w:rsidR="00E261CA">
        <w:rPr>
          <w:sz w:val="24"/>
          <w:szCs w:val="24"/>
        </w:rPr>
        <w:t xml:space="preserve">сентября </w:t>
      </w:r>
      <w:r w:rsidR="00936952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E261CA">
        <w:rPr>
          <w:sz w:val="24"/>
          <w:szCs w:val="24"/>
        </w:rPr>
        <w:t>08 сентября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360DDB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261CA">
        <w:rPr>
          <w:sz w:val="24"/>
          <w:szCs w:val="24"/>
        </w:rPr>
        <w:t>12</w:t>
      </w:r>
      <w:r w:rsidR="00450824">
        <w:rPr>
          <w:sz w:val="24"/>
          <w:szCs w:val="24"/>
        </w:rPr>
        <w:t xml:space="preserve"> </w:t>
      </w:r>
      <w:r w:rsidR="00E261CA">
        <w:rPr>
          <w:sz w:val="24"/>
          <w:szCs w:val="24"/>
        </w:rPr>
        <w:t xml:space="preserve">сентября </w:t>
      </w:r>
      <w:r w:rsidR="00936952" w:rsidRPr="00AB187C">
        <w:rPr>
          <w:sz w:val="24"/>
          <w:szCs w:val="24"/>
        </w:rPr>
        <w:t>2022</w:t>
      </w:r>
      <w:r w:rsidR="00360DDB">
        <w:rPr>
          <w:sz w:val="24"/>
          <w:szCs w:val="24"/>
        </w:rPr>
        <w:t xml:space="preserve"> г., в 11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D7" w:rsidRPr="00A872D7" w:rsidRDefault="00E261CA" w:rsidP="00A872D7">
            <w:pPr>
              <w:pStyle w:val="a3"/>
              <w:numPr>
                <w:ilvl w:val="0"/>
                <w:numId w:val="16"/>
              </w:numPr>
            </w:pPr>
            <w:r>
              <w:t xml:space="preserve">Российская Федерация, </w:t>
            </w:r>
            <w:r w:rsidR="00A76695">
              <w:t xml:space="preserve">Астраханская область, Приволжский муниципальный район, сельское поселение </w:t>
            </w:r>
            <w:proofErr w:type="spellStart"/>
            <w:r w:rsidR="00A76695">
              <w:t>Фунтовский</w:t>
            </w:r>
            <w:proofErr w:type="spellEnd"/>
            <w:r w:rsidR="00A76695">
              <w:t xml:space="preserve"> сельсовет, поселок Кирпичного Завода №1, улица Кутузова, з/у 14</w:t>
            </w:r>
            <w:r w:rsidR="00A872D7">
              <w:t xml:space="preserve"> </w:t>
            </w:r>
            <w:proofErr w:type="spellStart"/>
            <w:r w:rsidR="00A872D7"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A76695" w:rsidP="009A45F3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A76695">
            <w:pPr>
              <w:pStyle w:val="a3"/>
              <w:ind w:left="0"/>
              <w:jc w:val="center"/>
            </w:pPr>
            <w:r>
              <w:t>30:09:</w:t>
            </w:r>
            <w:r w:rsidR="00A76695">
              <w:t>100402</w:t>
            </w:r>
            <w:r w:rsidR="00360DDB">
              <w:t>:</w:t>
            </w:r>
            <w:r w:rsidR="00A76695">
              <w:t>2313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A76695" w:rsidP="00A76695">
            <w:pPr>
              <w:pStyle w:val="a3"/>
              <w:tabs>
                <w:tab w:val="center" w:pos="424"/>
              </w:tabs>
              <w:ind w:left="0"/>
              <w:jc w:val="left"/>
            </w:pPr>
            <w:r>
              <w:t>19650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A76695" w:rsidP="00711B43">
            <w:pPr>
              <w:pStyle w:val="a3"/>
              <w:ind w:left="0"/>
              <w:jc w:val="center"/>
            </w:pPr>
            <w:r>
              <w:t>3930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A76695" w:rsidP="00711B43">
            <w:pPr>
              <w:jc w:val="center"/>
            </w:pPr>
            <w:r>
              <w:t>589</w:t>
            </w:r>
          </w:p>
        </w:tc>
      </w:tr>
      <w:tr w:rsidR="00A76695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A76695">
            <w:pPr>
              <w:pStyle w:val="a3"/>
              <w:numPr>
                <w:ilvl w:val="0"/>
                <w:numId w:val="16"/>
              </w:numPr>
            </w:pPr>
            <w:r>
              <w:t xml:space="preserve">Астраханская область, Приволжский муниципальный район, сельское поселение село </w:t>
            </w:r>
            <w:proofErr w:type="spellStart"/>
            <w:r>
              <w:t>Растопуловка</w:t>
            </w:r>
            <w:proofErr w:type="spellEnd"/>
            <w:r>
              <w:t xml:space="preserve">, </w:t>
            </w:r>
            <w:proofErr w:type="spellStart"/>
            <w:r>
              <w:t>Растопуловка</w:t>
            </w:r>
            <w:proofErr w:type="spellEnd"/>
            <w:r>
              <w:t xml:space="preserve"> село, улица Июльская, з/у 1</w:t>
            </w:r>
            <w:r w:rsidR="00A872D7">
              <w:t xml:space="preserve"> </w:t>
            </w:r>
            <w:proofErr w:type="spellStart"/>
            <w:r w:rsidR="00A872D7"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9A45F3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A76695">
            <w:pPr>
              <w:pStyle w:val="a3"/>
              <w:ind w:left="0"/>
              <w:jc w:val="center"/>
            </w:pPr>
            <w:r>
              <w:t>30:09:010106:520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A76695">
            <w:pPr>
              <w:pStyle w:val="a3"/>
              <w:tabs>
                <w:tab w:val="center" w:pos="424"/>
              </w:tabs>
              <w:ind w:left="0"/>
            </w:pPr>
            <w:r>
              <w:t>11539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711B43">
            <w:pPr>
              <w:pStyle w:val="a3"/>
              <w:ind w:left="0"/>
              <w:jc w:val="center"/>
            </w:pPr>
            <w:r>
              <w:t>2308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711B43">
            <w:pPr>
              <w:jc w:val="center"/>
            </w:pPr>
            <w:r>
              <w:t>346</w:t>
            </w:r>
          </w:p>
        </w:tc>
      </w:tr>
      <w:tr w:rsidR="00A76695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76695" w:rsidP="00A76695">
            <w:pPr>
              <w:pStyle w:val="a3"/>
              <w:numPr>
                <w:ilvl w:val="0"/>
                <w:numId w:val="16"/>
              </w:numPr>
            </w:pPr>
            <w:r>
              <w:t xml:space="preserve">Российская Федерация, Астраханская область, Приволжский муниципальный район, сельское поселение </w:t>
            </w:r>
            <w:proofErr w:type="spellStart"/>
            <w:r>
              <w:t>Новорычинский</w:t>
            </w:r>
            <w:proofErr w:type="spellEnd"/>
            <w:r>
              <w:t xml:space="preserve"> </w:t>
            </w:r>
            <w:r>
              <w:lastRenderedPageBreak/>
              <w:t>сельсовет, Пойменный поселок, Тепличная улица, земельный участок 7</w:t>
            </w:r>
            <w:r w:rsidR="00A872D7">
              <w:t xml:space="preserve"> </w:t>
            </w:r>
            <w:proofErr w:type="spellStart"/>
            <w:r w:rsidR="00A872D7"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A872D7">
            <w:pPr>
              <w:pStyle w:val="a3"/>
              <w:ind w:left="0"/>
              <w:jc w:val="center"/>
            </w:pPr>
            <w:r>
              <w:lastRenderedPageBreak/>
              <w:t>839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A76695">
            <w:pPr>
              <w:pStyle w:val="a3"/>
              <w:ind w:left="0"/>
              <w:jc w:val="center"/>
            </w:pPr>
            <w:r>
              <w:t>30:09:020607:466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A76695">
            <w:pPr>
              <w:pStyle w:val="a3"/>
              <w:tabs>
                <w:tab w:val="center" w:pos="424"/>
              </w:tabs>
              <w:ind w:left="0"/>
            </w:pPr>
            <w:r>
              <w:t>15895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711B43">
            <w:pPr>
              <w:pStyle w:val="a3"/>
              <w:ind w:left="0"/>
              <w:jc w:val="center"/>
            </w:pPr>
            <w:r>
              <w:t>3179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711B43">
            <w:pPr>
              <w:jc w:val="center"/>
            </w:pPr>
            <w:r>
              <w:t>477</w:t>
            </w:r>
          </w:p>
        </w:tc>
      </w:tr>
      <w:tr w:rsidR="00A76695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A76695">
            <w:pPr>
              <w:pStyle w:val="a3"/>
              <w:numPr>
                <w:ilvl w:val="0"/>
                <w:numId w:val="16"/>
              </w:numPr>
            </w:pPr>
            <w:r>
              <w:lastRenderedPageBreak/>
              <w:t xml:space="preserve">Российская Федерация, Астраханская область, Приволжский муниципальный район, сельское поселение </w:t>
            </w:r>
            <w:proofErr w:type="spellStart"/>
            <w:r>
              <w:t>Новорычинский</w:t>
            </w:r>
            <w:proofErr w:type="spellEnd"/>
            <w:r>
              <w:t xml:space="preserve"> сельсовет, Пойменный</w:t>
            </w:r>
            <w:r>
              <w:t xml:space="preserve"> </w:t>
            </w:r>
            <w:r>
              <w:t>поселок, Тепличная</w:t>
            </w:r>
            <w:r>
              <w:t xml:space="preserve"> улица, земельный участок 9 </w:t>
            </w:r>
            <w:proofErr w:type="spellStart"/>
            <w: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9A45F3">
            <w:pPr>
              <w:pStyle w:val="a3"/>
              <w:ind w:left="0"/>
              <w:jc w:val="center"/>
            </w:pPr>
            <w:r>
              <w:t>839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A76695">
            <w:pPr>
              <w:pStyle w:val="a3"/>
              <w:ind w:left="0"/>
              <w:jc w:val="center"/>
            </w:pPr>
            <w:r>
              <w:t>30:09:020607:465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A76695">
            <w:pPr>
              <w:pStyle w:val="a3"/>
              <w:tabs>
                <w:tab w:val="center" w:pos="424"/>
              </w:tabs>
              <w:ind w:left="0"/>
            </w:pPr>
            <w:r>
              <w:t>15895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711B43">
            <w:pPr>
              <w:pStyle w:val="a3"/>
              <w:ind w:left="0"/>
              <w:jc w:val="center"/>
            </w:pPr>
            <w:r>
              <w:t>3179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5" w:rsidRDefault="00A872D7" w:rsidP="00711B43">
            <w:pPr>
              <w:jc w:val="center"/>
            </w:pPr>
            <w:r>
              <w:t>477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A872D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872D7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A872D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A872D7">
        <w:rPr>
          <w:rFonts w:ascii="Times New Roman" w:hAnsi="Times New Roman" w:cs="Times New Roman"/>
          <w:sz w:val="24"/>
          <w:szCs w:val="24"/>
        </w:rPr>
        <w:t xml:space="preserve">» </w:t>
      </w:r>
      <w:r w:rsidR="00A872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72D7">
        <w:rPr>
          <w:rFonts w:ascii="Times New Roman" w:hAnsi="Times New Roman" w:cs="Times New Roman"/>
          <w:sz w:val="24"/>
          <w:szCs w:val="24"/>
        </w:rPr>
        <w:t xml:space="preserve"> </w:t>
      </w:r>
      <w:r w:rsidR="00663EA7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663EA7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663EA7">
        <w:rPr>
          <w:rFonts w:ascii="Times New Roman" w:hAnsi="Times New Roman" w:cs="Times New Roman"/>
          <w:sz w:val="24"/>
          <w:szCs w:val="24"/>
        </w:rPr>
        <w:t xml:space="preserve">», </w:t>
      </w:r>
      <w:r w:rsidR="00A872D7">
        <w:rPr>
          <w:rFonts w:ascii="Times New Roman" w:hAnsi="Times New Roman" w:cs="Times New Roman"/>
          <w:sz w:val="24"/>
          <w:szCs w:val="24"/>
        </w:rPr>
        <w:t>АМО «</w:t>
      </w:r>
      <w:proofErr w:type="spellStart"/>
      <w:r w:rsidR="00A872D7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A872D7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A872D7">
        <w:rPr>
          <w:rFonts w:ascii="Times New Roman" w:hAnsi="Times New Roman" w:cs="Times New Roman"/>
          <w:sz w:val="24"/>
          <w:szCs w:val="24"/>
        </w:rPr>
        <w:t>зования «Приволжский район» №265</w:t>
      </w:r>
      <w:r w:rsidR="00014093">
        <w:rPr>
          <w:rFonts w:ascii="Times New Roman" w:hAnsi="Times New Roman" w:cs="Times New Roman"/>
          <w:sz w:val="24"/>
          <w:szCs w:val="24"/>
        </w:rPr>
        <w:t xml:space="preserve"> от 1</w:t>
      </w:r>
      <w:r w:rsidR="00A872D7">
        <w:rPr>
          <w:rFonts w:ascii="Times New Roman" w:hAnsi="Times New Roman" w:cs="Times New Roman"/>
          <w:sz w:val="24"/>
          <w:szCs w:val="24"/>
        </w:rPr>
        <w:t>3.05</w:t>
      </w:r>
      <w:r w:rsidR="00014093">
        <w:rPr>
          <w:rFonts w:ascii="Times New Roman" w:hAnsi="Times New Roman" w:cs="Times New Roman"/>
          <w:sz w:val="24"/>
          <w:szCs w:val="24"/>
        </w:rPr>
        <w:t>.2022 г.</w:t>
      </w:r>
      <w:r w:rsidR="00A872D7">
        <w:rPr>
          <w:rFonts w:ascii="Times New Roman" w:hAnsi="Times New Roman" w:cs="Times New Roman"/>
          <w:sz w:val="24"/>
          <w:szCs w:val="24"/>
        </w:rPr>
        <w:t>, №333 от 20.06.2022 г., №4040 от 12.07.2022 г., №3872 от 05.07.2022 г</w:t>
      </w:r>
      <w:bookmarkStart w:id="0" w:name="_GoBack"/>
      <w:bookmarkEnd w:id="0"/>
      <w:r w:rsidRPr="009302DE">
        <w:rPr>
          <w:rFonts w:ascii="Times New Roman" w:hAnsi="Times New Roman" w:cs="Times New Roman"/>
          <w:sz w:val="24"/>
          <w:szCs w:val="24"/>
        </w:rPr>
        <w:t>)</w:t>
      </w:r>
      <w:r w:rsidR="00597EC6">
        <w:rPr>
          <w:rFonts w:ascii="Times New Roman" w:hAnsi="Times New Roman" w:cs="Times New Roman"/>
          <w:sz w:val="24"/>
          <w:szCs w:val="24"/>
        </w:rPr>
        <w:t>;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</w:t>
      </w:r>
      <w:r>
        <w:rPr>
          <w:rFonts w:ascii="Times New Roman" w:hAnsi="Times New Roman" w:cs="Times New Roman"/>
          <w:sz w:val="24"/>
        </w:rPr>
        <w:lastRenderedPageBreak/>
        <w:t>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872D7">
        <w:rPr>
          <w:rFonts w:ascii="Times New Roman" w:hAnsi="Times New Roman" w:cs="Times New Roman"/>
          <w:b/>
          <w:sz w:val="24"/>
        </w:rPr>
        <w:t>08 сентября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01409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главы-</w:t>
      </w: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0AD67FC"/>
    <w:multiLevelType w:val="hybridMultilevel"/>
    <w:tmpl w:val="BCD6180C"/>
    <w:lvl w:ilvl="0" w:tplc="061A92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0DDB"/>
    <w:rsid w:val="00362EC3"/>
    <w:rsid w:val="00376CFA"/>
    <w:rsid w:val="003B30FD"/>
    <w:rsid w:val="003C48A6"/>
    <w:rsid w:val="003C4A8C"/>
    <w:rsid w:val="003C4FF9"/>
    <w:rsid w:val="003D6552"/>
    <w:rsid w:val="003E0482"/>
    <w:rsid w:val="00433F2F"/>
    <w:rsid w:val="0043684F"/>
    <w:rsid w:val="004438A7"/>
    <w:rsid w:val="004438C6"/>
    <w:rsid w:val="00450824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4628B"/>
    <w:rsid w:val="0057092A"/>
    <w:rsid w:val="00573224"/>
    <w:rsid w:val="00583FA1"/>
    <w:rsid w:val="00597EC6"/>
    <w:rsid w:val="005A2E0C"/>
    <w:rsid w:val="005B6D11"/>
    <w:rsid w:val="005C314D"/>
    <w:rsid w:val="005E5835"/>
    <w:rsid w:val="005F220D"/>
    <w:rsid w:val="006069D9"/>
    <w:rsid w:val="0062163E"/>
    <w:rsid w:val="00630094"/>
    <w:rsid w:val="006342DC"/>
    <w:rsid w:val="00637C84"/>
    <w:rsid w:val="006421E1"/>
    <w:rsid w:val="00647389"/>
    <w:rsid w:val="00647EEE"/>
    <w:rsid w:val="00663EA7"/>
    <w:rsid w:val="0066621E"/>
    <w:rsid w:val="00682DB2"/>
    <w:rsid w:val="006B5F71"/>
    <w:rsid w:val="006C0B1A"/>
    <w:rsid w:val="006C4F1C"/>
    <w:rsid w:val="006F00FE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6695"/>
    <w:rsid w:val="00A77341"/>
    <w:rsid w:val="00A872D7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9581D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4444C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261CA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62DEE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320A-10C8-40EE-B904-C5B1DA15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2022-07-06T08:06:00Z</cp:lastPrinted>
  <dcterms:created xsi:type="dcterms:W3CDTF">2022-07-06T08:07:00Z</dcterms:created>
  <dcterms:modified xsi:type="dcterms:W3CDTF">2022-08-03T09:30:00Z</dcterms:modified>
</cp:coreProperties>
</file>