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она на право заключения договоров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FB24AF">
        <w:rPr>
          <w:rFonts w:ascii="Times New Roman" w:hAnsi="Times New Roman" w:cs="Times New Roman"/>
          <w:i/>
          <w:sz w:val="24"/>
          <w:szCs w:val="24"/>
        </w:rPr>
        <w:t>ых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FB24AF">
        <w:rPr>
          <w:rFonts w:ascii="Times New Roman" w:hAnsi="Times New Roman" w:cs="Times New Roman"/>
          <w:i/>
          <w:sz w:val="24"/>
          <w:szCs w:val="24"/>
        </w:rPr>
        <w:t>ов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A2347B">
        <w:rPr>
          <w:sz w:val="24"/>
          <w:szCs w:val="24"/>
        </w:rPr>
        <w:t>2415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A2347B">
        <w:rPr>
          <w:sz w:val="24"/>
          <w:szCs w:val="24"/>
        </w:rPr>
        <w:t>27</w:t>
      </w:r>
      <w:r w:rsidR="003C4A8C">
        <w:rPr>
          <w:sz w:val="24"/>
          <w:szCs w:val="24"/>
        </w:rPr>
        <w:t>.09</w:t>
      </w:r>
      <w:r w:rsidR="00DF1CC8">
        <w:rPr>
          <w:sz w:val="24"/>
          <w:szCs w:val="24"/>
        </w:rPr>
        <w:t>.2018</w:t>
      </w:r>
      <w:r w:rsidR="00DA54EC" w:rsidRPr="00477658">
        <w:rPr>
          <w:sz w:val="24"/>
          <w:szCs w:val="24"/>
        </w:rPr>
        <w:t xml:space="preserve"> г., № </w:t>
      </w:r>
      <w:r w:rsidR="00A2347B">
        <w:rPr>
          <w:sz w:val="24"/>
          <w:szCs w:val="24"/>
        </w:rPr>
        <w:t>2408  от 2</w:t>
      </w:r>
      <w:r w:rsidR="003C4A8C">
        <w:rPr>
          <w:sz w:val="24"/>
          <w:szCs w:val="24"/>
        </w:rPr>
        <w:t>7.09</w:t>
      </w:r>
      <w:r w:rsidR="00DF1CC8">
        <w:rPr>
          <w:sz w:val="24"/>
          <w:szCs w:val="24"/>
        </w:rPr>
        <w:t>.2018</w:t>
      </w:r>
      <w:r w:rsidR="005C314D">
        <w:rPr>
          <w:sz w:val="24"/>
          <w:szCs w:val="24"/>
        </w:rPr>
        <w:t xml:space="preserve"> г</w:t>
      </w:r>
      <w:r w:rsidR="003C4A8C">
        <w:rPr>
          <w:sz w:val="24"/>
          <w:szCs w:val="24"/>
        </w:rPr>
        <w:t>.</w:t>
      </w:r>
    </w:p>
    <w:p w:rsidR="00507802" w:rsidRP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sz w:val="24"/>
          <w:szCs w:val="24"/>
        </w:rPr>
        <w:t>Земельны</w:t>
      </w:r>
      <w:r w:rsidR="00734383" w:rsidRPr="00477658">
        <w:rPr>
          <w:sz w:val="24"/>
          <w:szCs w:val="24"/>
        </w:rPr>
        <w:t>е</w:t>
      </w:r>
      <w:r w:rsidRPr="00477658">
        <w:rPr>
          <w:sz w:val="24"/>
          <w:szCs w:val="24"/>
        </w:rPr>
        <w:t xml:space="preserve"> участк</w:t>
      </w:r>
      <w:r w:rsidR="00734383" w:rsidRPr="00477658">
        <w:rPr>
          <w:sz w:val="24"/>
          <w:szCs w:val="24"/>
        </w:rPr>
        <w:t>и</w:t>
      </w:r>
      <w:r w:rsidRPr="00477658">
        <w:rPr>
          <w:sz w:val="24"/>
          <w:szCs w:val="24"/>
        </w:rPr>
        <w:t xml:space="preserve"> наход</w:t>
      </w:r>
      <w:r w:rsidR="00734383" w:rsidRPr="00477658">
        <w:rPr>
          <w:sz w:val="24"/>
          <w:szCs w:val="24"/>
        </w:rPr>
        <w:t>я</w:t>
      </w:r>
      <w:r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6A511B">
        <w:rPr>
          <w:sz w:val="24"/>
          <w:szCs w:val="24"/>
        </w:rPr>
        <w:t>05 октября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6A511B">
        <w:rPr>
          <w:sz w:val="24"/>
          <w:szCs w:val="24"/>
        </w:rPr>
        <w:t>05 ноября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6A511B">
        <w:rPr>
          <w:sz w:val="24"/>
          <w:szCs w:val="24"/>
        </w:rPr>
        <w:t>07 ноября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6A511B">
        <w:rPr>
          <w:sz w:val="24"/>
          <w:szCs w:val="24"/>
        </w:rPr>
        <w:t>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6A511B">
        <w:rPr>
          <w:sz w:val="24"/>
          <w:szCs w:val="24"/>
        </w:rPr>
        <w:t>12 ноября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6A511B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6A511B" w:rsidP="006A511B">
            <w:pPr>
              <w:pStyle w:val="a3"/>
              <w:numPr>
                <w:ilvl w:val="0"/>
                <w:numId w:val="4"/>
              </w:numPr>
            </w:pPr>
            <w:r>
              <w:t>п</w:t>
            </w:r>
            <w:r w:rsidR="002328E9">
              <w:t xml:space="preserve">. </w:t>
            </w:r>
            <w:proofErr w:type="gramStart"/>
            <w:r>
              <w:t>Пойменный</w:t>
            </w:r>
            <w:proofErr w:type="gramEnd"/>
            <w:r w:rsidR="002328E9">
              <w:t xml:space="preserve">, ул. </w:t>
            </w:r>
            <w:r>
              <w:t>2-я Комсомольская</w:t>
            </w:r>
            <w:r w:rsidR="00CA1F55" w:rsidRPr="00CA1F55">
              <w:t>,</w:t>
            </w:r>
            <w:r>
              <w:t xml:space="preserve"> 1</w:t>
            </w:r>
            <w:r w:rsidR="00C6750D">
              <w:t>,</w:t>
            </w:r>
            <w:r w:rsidR="00CA1F55" w:rsidRPr="00CA1F55">
              <w:t xml:space="preserve"> разрешенное использование:</w:t>
            </w:r>
            <w:r w:rsidR="00DA54EC">
              <w:t xml:space="preserve"> «</w:t>
            </w:r>
            <w:r w:rsidR="00682DB2">
              <w:t>ИЖС</w:t>
            </w:r>
            <w:r w:rsidR="002328E9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A511B" w:rsidP="006E3DDC">
            <w:pPr>
              <w:pStyle w:val="a3"/>
              <w:ind w:left="0" w:firstLine="0"/>
              <w:jc w:val="center"/>
            </w:pPr>
            <w:r>
              <w:t>856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A511B">
            <w:pPr>
              <w:pStyle w:val="a3"/>
              <w:ind w:left="0"/>
              <w:jc w:val="center"/>
            </w:pPr>
            <w:r>
              <w:t>30:09:</w:t>
            </w:r>
            <w:r w:rsidR="006A511B">
              <w:t>020602</w:t>
            </w:r>
            <w:r w:rsidR="00DA54EC">
              <w:t>:</w:t>
            </w:r>
            <w:r w:rsidR="006A511B">
              <w:t>649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A511B" w:rsidP="006E3DDC">
            <w:pPr>
              <w:pStyle w:val="a3"/>
              <w:ind w:left="0"/>
              <w:jc w:val="center"/>
            </w:pPr>
            <w:r>
              <w:t>12819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6A511B" w:rsidP="006E3DDC">
            <w:pPr>
              <w:pStyle w:val="a3"/>
              <w:ind w:left="0"/>
              <w:jc w:val="center"/>
            </w:pPr>
            <w:r>
              <w:t>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6750D" w:rsidP="006E3DDC">
            <w:pPr>
              <w:jc w:val="center"/>
            </w:pPr>
            <w:r>
              <w:t>4</w:t>
            </w:r>
            <w:r w:rsidR="00D508F3">
              <w:t>00</w:t>
            </w:r>
          </w:p>
        </w:tc>
      </w:tr>
      <w:tr w:rsidR="006A511B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11B" w:rsidRPr="00CA1F55" w:rsidRDefault="006A511B" w:rsidP="006A511B">
            <w:pPr>
              <w:pStyle w:val="a3"/>
              <w:numPr>
                <w:ilvl w:val="0"/>
                <w:numId w:val="4"/>
              </w:numPr>
            </w:pPr>
            <w:r>
              <w:t>с</w:t>
            </w:r>
            <w:r>
              <w:t xml:space="preserve">. </w:t>
            </w:r>
            <w:r>
              <w:t>Растопуловка</w:t>
            </w:r>
            <w:r>
              <w:t xml:space="preserve">, ул. </w:t>
            </w:r>
            <w:proofErr w:type="gramStart"/>
            <w:r>
              <w:t>Заречная</w:t>
            </w:r>
            <w:proofErr w:type="gramEnd"/>
            <w:r w:rsidRPr="00CA1F55">
              <w:t>,</w:t>
            </w:r>
            <w:r>
              <w:t xml:space="preserve"> 3</w:t>
            </w:r>
            <w:r>
              <w:t>,</w:t>
            </w:r>
            <w:r w:rsidRPr="00CA1F55">
              <w:t xml:space="preserve"> разрешенное использование:</w:t>
            </w:r>
            <w:r>
              <w:t xml:space="preserve">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1B" w:rsidRPr="00734383" w:rsidRDefault="006A511B" w:rsidP="00135A59">
            <w:pPr>
              <w:pStyle w:val="a3"/>
              <w:ind w:left="0" w:firstLine="0"/>
              <w:jc w:val="center"/>
            </w:pPr>
            <w:r>
              <w:t>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1B" w:rsidRPr="00734383" w:rsidRDefault="006A511B" w:rsidP="006A511B">
            <w:pPr>
              <w:pStyle w:val="a3"/>
              <w:ind w:left="0"/>
              <w:jc w:val="center"/>
            </w:pPr>
            <w:r>
              <w:t>30:09:</w:t>
            </w:r>
            <w:r>
              <w:t>010104</w:t>
            </w:r>
            <w:r>
              <w:t>:</w:t>
            </w:r>
            <w: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1B" w:rsidRPr="00734383" w:rsidRDefault="006A511B" w:rsidP="00135A59">
            <w:pPr>
              <w:pStyle w:val="a3"/>
              <w:ind w:left="0"/>
              <w:jc w:val="center"/>
            </w:pPr>
            <w:r>
              <w:t>19551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1B" w:rsidRPr="00734383" w:rsidRDefault="006A511B" w:rsidP="00135A59">
            <w:pPr>
              <w:pStyle w:val="a3"/>
              <w:ind w:left="0"/>
              <w:jc w:val="center"/>
            </w:pPr>
            <w:r>
              <w:t>3910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11B" w:rsidRPr="00734383" w:rsidRDefault="006A511B" w:rsidP="00135A59">
            <w:pPr>
              <w:jc w:val="center"/>
            </w:pPr>
            <w:r>
              <w:t>550</w:t>
            </w:r>
          </w:p>
        </w:tc>
      </w:tr>
    </w:tbl>
    <w:p w:rsidR="006A511B" w:rsidRDefault="006A511B" w:rsidP="006A511B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 на право заключения договора аренды 20 (двадцать) лет.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proofErr w:type="spellStart"/>
      <w:r w:rsidR="006A511B">
        <w:rPr>
          <w:rFonts w:ascii="Times New Roman" w:hAnsi="Times New Roman" w:cs="Times New Roman"/>
          <w:sz w:val="24"/>
          <w:szCs w:val="24"/>
        </w:rPr>
        <w:t>Новорычинский</w:t>
      </w:r>
      <w:proofErr w:type="spellEnd"/>
      <w:r w:rsidR="006A511B">
        <w:rPr>
          <w:rFonts w:ascii="Times New Roman" w:hAnsi="Times New Roman" w:cs="Times New Roman"/>
          <w:sz w:val="24"/>
          <w:szCs w:val="24"/>
        </w:rPr>
        <w:t xml:space="preserve"> </w:t>
      </w:r>
      <w:r w:rsidR="005C314D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</w:r>
      <w:r w:rsidR="000D769C">
        <w:rPr>
          <w:rFonts w:ascii="Times New Roman" w:hAnsi="Times New Roman" w:cs="Times New Roman"/>
          <w:sz w:val="24"/>
          <w:szCs w:val="24"/>
        </w:rPr>
        <w:t xml:space="preserve">МО «Село Растопуловка»,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</w:t>
      </w:r>
      <w:r w:rsidR="005C314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19.01.2018 г., № АЭ/106/93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Астра</w:t>
      </w:r>
      <w:r w:rsidR="00BB0191">
        <w:rPr>
          <w:rFonts w:ascii="Times New Roman" w:hAnsi="Times New Roman" w:cs="Times New Roman"/>
          <w:sz w:val="24"/>
          <w:szCs w:val="24"/>
        </w:rPr>
        <w:t>хань</w:t>
      </w:r>
      <w:r w:rsidR="005C314D">
        <w:rPr>
          <w:rFonts w:ascii="Times New Roman" w:hAnsi="Times New Roman" w:cs="Times New Roman"/>
          <w:sz w:val="24"/>
          <w:szCs w:val="24"/>
        </w:rPr>
        <w:t>Газсервис</w:t>
      </w:r>
      <w:proofErr w:type="spellEnd"/>
      <w:r w:rsidR="005C314D">
        <w:rPr>
          <w:rFonts w:ascii="Times New Roman" w:hAnsi="Times New Roman" w:cs="Times New Roman"/>
          <w:sz w:val="24"/>
          <w:szCs w:val="24"/>
        </w:rPr>
        <w:t>» от 15.02</w:t>
      </w:r>
      <w:r w:rsidR="00BB0191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5C314D">
        <w:rPr>
          <w:rFonts w:ascii="Times New Roman" w:hAnsi="Times New Roman" w:cs="Times New Roman"/>
          <w:sz w:val="24"/>
          <w:szCs w:val="24"/>
        </w:rPr>
        <w:t>14-47/571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</w:t>
      </w:r>
      <w:r>
        <w:rPr>
          <w:rFonts w:ascii="Times New Roman" w:hAnsi="Times New Roman" w:cs="Times New Roman"/>
          <w:sz w:val="24"/>
        </w:rPr>
        <w:lastRenderedPageBreak/>
        <w:t xml:space="preserve">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6A511B">
        <w:rPr>
          <w:rFonts w:ascii="Times New Roman" w:hAnsi="Times New Roman" w:cs="Times New Roman"/>
          <w:b/>
          <w:sz w:val="24"/>
        </w:rPr>
        <w:t>07 ноября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7ACA"/>
    <w:rsid w:val="000D769C"/>
    <w:rsid w:val="0023229E"/>
    <w:rsid w:val="002328E9"/>
    <w:rsid w:val="0023408C"/>
    <w:rsid w:val="00296F5E"/>
    <w:rsid w:val="002D7430"/>
    <w:rsid w:val="002F4EA7"/>
    <w:rsid w:val="00346169"/>
    <w:rsid w:val="003C4A8C"/>
    <w:rsid w:val="003C4FF9"/>
    <w:rsid w:val="00433F2F"/>
    <w:rsid w:val="00477658"/>
    <w:rsid w:val="004B3A30"/>
    <w:rsid w:val="004E2F7C"/>
    <w:rsid w:val="00507802"/>
    <w:rsid w:val="005C314D"/>
    <w:rsid w:val="005F220D"/>
    <w:rsid w:val="00637C84"/>
    <w:rsid w:val="00647EEE"/>
    <w:rsid w:val="00682DB2"/>
    <w:rsid w:val="006A511B"/>
    <w:rsid w:val="006B5F71"/>
    <w:rsid w:val="006C4F1C"/>
    <w:rsid w:val="00724AB7"/>
    <w:rsid w:val="00734383"/>
    <w:rsid w:val="00767955"/>
    <w:rsid w:val="007A2549"/>
    <w:rsid w:val="007F5FEB"/>
    <w:rsid w:val="00837B3E"/>
    <w:rsid w:val="00843194"/>
    <w:rsid w:val="008F02B4"/>
    <w:rsid w:val="008F403A"/>
    <w:rsid w:val="00931F95"/>
    <w:rsid w:val="00A05286"/>
    <w:rsid w:val="00A2347B"/>
    <w:rsid w:val="00A503B9"/>
    <w:rsid w:val="00A77341"/>
    <w:rsid w:val="00AE3612"/>
    <w:rsid w:val="00AF142F"/>
    <w:rsid w:val="00B1227B"/>
    <w:rsid w:val="00BB0191"/>
    <w:rsid w:val="00BD6780"/>
    <w:rsid w:val="00C6750D"/>
    <w:rsid w:val="00C87D14"/>
    <w:rsid w:val="00C90EA5"/>
    <w:rsid w:val="00CA1F55"/>
    <w:rsid w:val="00D10FD1"/>
    <w:rsid w:val="00D508F3"/>
    <w:rsid w:val="00D77951"/>
    <w:rsid w:val="00DA0F1C"/>
    <w:rsid w:val="00DA54EC"/>
    <w:rsid w:val="00DB3668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E3006-EBCF-4303-B286-392DEE367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2018-10-01T13:48:00Z</cp:lastPrinted>
  <dcterms:created xsi:type="dcterms:W3CDTF">2018-10-01T13:49:00Z</dcterms:created>
  <dcterms:modified xsi:type="dcterms:W3CDTF">2018-10-01T13:49:00Z</dcterms:modified>
</cp:coreProperties>
</file>