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E53BB5">
        <w:rPr>
          <w:rFonts w:ascii="Times New Roman" w:hAnsi="Times New Roman" w:cs="Times New Roman"/>
          <w:sz w:val="26"/>
          <w:szCs w:val="26"/>
        </w:rPr>
        <w:t xml:space="preserve">771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E61590">
        <w:rPr>
          <w:rFonts w:ascii="Times New Roman" w:hAnsi="Times New Roman" w:cs="Times New Roman"/>
          <w:sz w:val="26"/>
          <w:szCs w:val="26"/>
        </w:rPr>
        <w:t xml:space="preserve">п. Начало, ул. </w:t>
      </w:r>
      <w:r w:rsidR="00E53BB5">
        <w:rPr>
          <w:rFonts w:ascii="Times New Roman" w:hAnsi="Times New Roman" w:cs="Times New Roman"/>
          <w:sz w:val="26"/>
          <w:szCs w:val="26"/>
        </w:rPr>
        <w:t>Сентябрьская, 10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5E6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962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3BB5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2018-04-20T06:18:00Z</cp:lastPrinted>
  <dcterms:created xsi:type="dcterms:W3CDTF">2018-05-28T12:43:00Z</dcterms:created>
  <dcterms:modified xsi:type="dcterms:W3CDTF">2018-05-28T12:43:00Z</dcterms:modified>
</cp:coreProperties>
</file>