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8235CA">
        <w:rPr>
          <w:rFonts w:ascii="Times New Roman" w:hAnsi="Times New Roman" w:cs="Times New Roman"/>
          <w:sz w:val="26"/>
          <w:szCs w:val="26"/>
        </w:rPr>
        <w:t>, сады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8235CA">
        <w:rPr>
          <w:rFonts w:ascii="Times New Roman" w:hAnsi="Times New Roman" w:cs="Times New Roman"/>
          <w:sz w:val="26"/>
          <w:szCs w:val="26"/>
        </w:rPr>
        <w:t>1400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8235CA">
        <w:rPr>
          <w:rFonts w:ascii="Times New Roman" w:hAnsi="Times New Roman" w:cs="Times New Roman"/>
          <w:sz w:val="26"/>
          <w:szCs w:val="26"/>
        </w:rPr>
        <w:t>С. Осыпной Бугор, ул. Казанская, 1 «а»</w:t>
      </w:r>
      <w:r w:rsidR="0007380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9A4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58B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5CA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C66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2017-11-29T03:19:00Z</cp:lastPrinted>
  <dcterms:created xsi:type="dcterms:W3CDTF">2018-03-01T11:08:00Z</dcterms:created>
  <dcterms:modified xsi:type="dcterms:W3CDTF">2018-03-01T11:08:00Z</dcterms:modified>
</cp:coreProperties>
</file>